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D64" w:rsidRPr="000C6D64" w:rsidRDefault="000C6D64" w:rsidP="00995A5B">
      <w:pPr>
        <w:ind w:firstLine="0"/>
        <w:rPr>
          <w:rFonts w:ascii="Times New Roman" w:eastAsia="Gulim" w:hAnsi="Times New Roman" w:cs="Times New Roman"/>
          <w:sz w:val="24"/>
          <w:szCs w:val="24"/>
        </w:rPr>
      </w:pPr>
      <w:r w:rsidRPr="000C6D64">
        <w:rPr>
          <w:rFonts w:ascii="Times New Roman" w:eastAsia="Gulim" w:hAnsi="Times New Roman" w:cs="Times New Roman"/>
          <w:sz w:val="24"/>
          <w:szCs w:val="24"/>
        </w:rPr>
        <w:t>Alyssa Thelemaque</w:t>
      </w:r>
      <w:r w:rsidRPr="000C6D64">
        <w:rPr>
          <w:rFonts w:ascii="Times New Roman" w:eastAsia="Gulim" w:hAnsi="Times New Roman" w:cs="Times New Roman"/>
          <w:sz w:val="24"/>
          <w:szCs w:val="24"/>
        </w:rPr>
        <w:br/>
        <w:t>ARCH 1900</w:t>
      </w:r>
      <w:r w:rsidRPr="000C6D64">
        <w:rPr>
          <w:rFonts w:ascii="Times New Roman" w:eastAsia="Gulim" w:hAnsi="Times New Roman" w:cs="Times New Roman"/>
          <w:sz w:val="24"/>
          <w:szCs w:val="24"/>
        </w:rPr>
        <w:br/>
        <w:t>Object Biographies</w:t>
      </w:r>
      <w:r w:rsidRPr="000C6D64">
        <w:rPr>
          <w:rFonts w:ascii="Times New Roman" w:eastAsia="Gulim" w:hAnsi="Times New Roman" w:cs="Times New Roman"/>
          <w:sz w:val="24"/>
          <w:szCs w:val="24"/>
        </w:rPr>
        <w:br/>
        <w:t>14 December 2009</w:t>
      </w:r>
    </w:p>
    <w:p w:rsidR="000C6D64" w:rsidRPr="000C6D64" w:rsidRDefault="000C6D64" w:rsidP="000C6D64">
      <w:pPr>
        <w:spacing w:after="0" w:line="480" w:lineRule="auto"/>
        <w:ind w:firstLine="0"/>
        <w:rPr>
          <w:rFonts w:ascii="Times New Roman" w:hAnsi="Times New Roman"/>
          <w:b/>
          <w:sz w:val="24"/>
          <w:szCs w:val="24"/>
          <w:u w:val="single"/>
          <w:lang w:val="fr-FR"/>
        </w:rPr>
      </w:pPr>
      <w:r w:rsidRPr="000C6D64">
        <w:rPr>
          <w:rFonts w:ascii="Times New Roman" w:hAnsi="Times New Roman"/>
          <w:b/>
          <w:sz w:val="24"/>
          <w:szCs w:val="24"/>
          <w:u w:val="single"/>
          <w:lang w:val="fr-FR"/>
        </w:rPr>
        <w:t xml:space="preserve">Canton Porcelain Fragment | </w:t>
      </w:r>
      <w:r>
        <w:rPr>
          <w:rFonts w:ascii="Times New Roman" w:hAnsi="Times New Roman"/>
          <w:b/>
          <w:sz w:val="24"/>
          <w:szCs w:val="24"/>
          <w:u w:val="single"/>
          <w:lang w:val="fr-FR"/>
        </w:rPr>
        <w:t>Plastic Coffee Cup Lid Fragments</w:t>
      </w:r>
      <w:r w:rsidRPr="000C6D64">
        <w:rPr>
          <w:rFonts w:ascii="Times New Roman" w:hAnsi="Times New Roman"/>
          <w:b/>
          <w:sz w:val="24"/>
          <w:szCs w:val="24"/>
          <w:u w:val="single"/>
          <w:lang w:val="fr-FR"/>
        </w:rPr>
        <w:t xml:space="preserve"> | </w:t>
      </w:r>
      <w:r>
        <w:rPr>
          <w:rFonts w:ascii="Times New Roman" w:hAnsi="Times New Roman"/>
          <w:b/>
          <w:sz w:val="24"/>
          <w:szCs w:val="24"/>
          <w:u w:val="single"/>
          <w:lang w:val="fr-FR"/>
        </w:rPr>
        <w:t>Angle Iron</w:t>
      </w:r>
    </w:p>
    <w:p w:rsidR="00995A5B" w:rsidRDefault="00995A5B" w:rsidP="00995A5B">
      <w:pPr>
        <w:ind w:firstLine="0"/>
        <w:rPr>
          <w:rFonts w:ascii="Gulim" w:eastAsia="Gulim" w:hAnsi="Gulim"/>
          <w:sz w:val="20"/>
        </w:rPr>
      </w:pPr>
      <w:r>
        <w:rPr>
          <w:rFonts w:ascii="Gulim" w:eastAsia="Gulim" w:hAnsi="Gulim"/>
          <w:noProof/>
          <w:sz w:val="20"/>
        </w:rPr>
        <w:drawing>
          <wp:inline distT="0" distB="0" distL="0" distR="0">
            <wp:extent cx="2775747" cy="2082298"/>
            <wp:effectExtent l="19050" t="0" r="5553" b="0"/>
            <wp:docPr id="14" name="Picture 14" descr="C:\Users\alyssa\Downloads\dumbness3\CIMG4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lyssa\Downloads\dumbness3\CIMG4929.JPG"/>
                    <pic:cNvPicPr>
                      <a:picLocks noChangeAspect="1" noChangeArrowheads="1"/>
                    </pic:cNvPicPr>
                  </pic:nvPicPr>
                  <pic:blipFill>
                    <a:blip r:embed="rId8" cstate="print"/>
                    <a:srcRect/>
                    <a:stretch>
                      <a:fillRect/>
                    </a:stretch>
                  </pic:blipFill>
                  <pic:spPr bwMode="auto">
                    <a:xfrm>
                      <a:off x="0" y="0"/>
                      <a:ext cx="2787780" cy="2091325"/>
                    </a:xfrm>
                    <a:prstGeom prst="rect">
                      <a:avLst/>
                    </a:prstGeom>
                    <a:noFill/>
                    <a:ln w="9525">
                      <a:noFill/>
                      <a:miter lim="800000"/>
                      <a:headEnd/>
                      <a:tailEnd/>
                    </a:ln>
                  </pic:spPr>
                </pic:pic>
              </a:graphicData>
            </a:graphic>
          </wp:inline>
        </w:drawing>
      </w:r>
      <w:r w:rsidR="000C6D64">
        <w:rPr>
          <w:rFonts w:ascii="Gulim" w:eastAsia="Gulim" w:hAnsi="Gulim"/>
          <w:noProof/>
          <w:sz w:val="20"/>
        </w:rPr>
        <w:drawing>
          <wp:inline distT="0" distB="0" distL="0" distR="0">
            <wp:extent cx="2777993" cy="2083982"/>
            <wp:effectExtent l="19050" t="0" r="3307" b="0"/>
            <wp:docPr id="2" name="Picture 13" descr="C:\Users\alyssa\Downloads\dumbness4theend\CIMG4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lyssa\Downloads\dumbness4theend\CIMG4945.JPG"/>
                    <pic:cNvPicPr>
                      <a:picLocks noChangeAspect="1" noChangeArrowheads="1"/>
                    </pic:cNvPicPr>
                  </pic:nvPicPr>
                  <pic:blipFill>
                    <a:blip r:embed="rId9" cstate="print"/>
                    <a:srcRect/>
                    <a:stretch>
                      <a:fillRect/>
                    </a:stretch>
                  </pic:blipFill>
                  <pic:spPr bwMode="auto">
                    <a:xfrm>
                      <a:off x="0" y="0"/>
                      <a:ext cx="2780301" cy="2085714"/>
                    </a:xfrm>
                    <a:prstGeom prst="rect">
                      <a:avLst/>
                    </a:prstGeom>
                    <a:noFill/>
                    <a:ln w="9525">
                      <a:noFill/>
                      <a:miter lim="800000"/>
                      <a:headEnd/>
                      <a:tailEnd/>
                    </a:ln>
                  </pic:spPr>
                </pic:pic>
              </a:graphicData>
            </a:graphic>
          </wp:inline>
        </w:drawing>
      </w:r>
    </w:p>
    <w:p w:rsidR="00A23982" w:rsidRPr="000C6D64" w:rsidRDefault="009D348E" w:rsidP="000C6D64">
      <w:pPr>
        <w:spacing w:line="480" w:lineRule="auto"/>
        <w:contextualSpacing/>
        <w:rPr>
          <w:rFonts w:ascii="Times New Roman" w:eastAsia="Gulim" w:hAnsi="Times New Roman" w:cs="Times New Roman"/>
          <w:sz w:val="24"/>
          <w:szCs w:val="24"/>
        </w:rPr>
      </w:pPr>
      <w:r w:rsidRPr="000C6D64">
        <w:rPr>
          <w:rFonts w:ascii="Times New Roman" w:eastAsia="Gulim" w:hAnsi="Times New Roman" w:cs="Times New Roman"/>
          <w:sz w:val="24"/>
          <w:szCs w:val="24"/>
        </w:rPr>
        <w:t>My first object</w:t>
      </w:r>
      <w:r w:rsidR="00A23982" w:rsidRPr="000C6D64">
        <w:rPr>
          <w:rFonts w:ascii="Times New Roman" w:eastAsia="Gulim" w:hAnsi="Times New Roman" w:cs="Times New Roman"/>
          <w:sz w:val="24"/>
          <w:szCs w:val="24"/>
        </w:rPr>
        <w:t xml:space="preserve"> is a small fragment of porcelain</w:t>
      </w:r>
      <w:r w:rsidR="00D41A76" w:rsidRPr="000C6D64">
        <w:rPr>
          <w:rFonts w:ascii="Times New Roman" w:eastAsia="Gulim" w:hAnsi="Times New Roman" w:cs="Times New Roman"/>
          <w:sz w:val="24"/>
          <w:szCs w:val="24"/>
        </w:rPr>
        <w:t xml:space="preserve"> that is known as Canton porcelain</w:t>
      </w:r>
      <w:r w:rsidR="00A23982" w:rsidRPr="000C6D64">
        <w:rPr>
          <w:rFonts w:ascii="Times New Roman" w:eastAsia="Gulim" w:hAnsi="Times New Roman" w:cs="Times New Roman"/>
          <w:sz w:val="24"/>
          <w:szCs w:val="24"/>
        </w:rPr>
        <w:t xml:space="preserve">. </w:t>
      </w:r>
      <w:r w:rsidRPr="000C6D64">
        <w:rPr>
          <w:rFonts w:ascii="Times New Roman" w:eastAsia="Gulim" w:hAnsi="Times New Roman" w:cs="Times New Roman"/>
          <w:sz w:val="24"/>
          <w:szCs w:val="24"/>
        </w:rPr>
        <w:t xml:space="preserve">Canton porcelain has some easily identifiable features (although in my opinion, easily mistaken for other types of Chinese porcelain ware), and Krysta pointed me in the direction of looking at Canton porcelain. </w:t>
      </w:r>
    </w:p>
    <w:p w:rsidR="00F15307" w:rsidRPr="000C6D64" w:rsidRDefault="00D41A76" w:rsidP="000C6D64">
      <w:pPr>
        <w:spacing w:line="480" w:lineRule="auto"/>
        <w:contextualSpacing/>
        <w:rPr>
          <w:rFonts w:ascii="Times New Roman" w:eastAsia="Gulim" w:hAnsi="Times New Roman" w:cs="Times New Roman"/>
          <w:sz w:val="24"/>
          <w:szCs w:val="24"/>
        </w:rPr>
      </w:pPr>
      <w:r w:rsidRPr="000C6D64">
        <w:rPr>
          <w:rFonts w:ascii="Times New Roman" w:eastAsia="Gulim" w:hAnsi="Times New Roman" w:cs="Times New Roman"/>
          <w:sz w:val="24"/>
          <w:szCs w:val="24"/>
        </w:rPr>
        <w:t>The production date range of</w:t>
      </w:r>
      <w:r w:rsidR="004D10F5" w:rsidRPr="000C6D64">
        <w:rPr>
          <w:rFonts w:ascii="Times New Roman" w:eastAsia="Gulim" w:hAnsi="Times New Roman" w:cs="Times New Roman"/>
          <w:sz w:val="24"/>
          <w:szCs w:val="24"/>
        </w:rPr>
        <w:t xml:space="preserve"> Canton porcelain is 1790-1835. Canton porcelain is composed of a glassy vitreous paste. The color of the undecorated porcelain is white or grayish white and the thickness of Canton porcelain vessels is decidedly thicker than other porcelain types. </w:t>
      </w:r>
      <w:r w:rsidRPr="000C6D64">
        <w:rPr>
          <w:rFonts w:ascii="Times New Roman" w:eastAsia="Gulim" w:hAnsi="Times New Roman" w:cs="Times New Roman"/>
          <w:sz w:val="24"/>
          <w:szCs w:val="24"/>
        </w:rPr>
        <w:t xml:space="preserve"> </w:t>
      </w:r>
      <w:r w:rsidR="00BD3CB4" w:rsidRPr="000C6D64">
        <w:rPr>
          <w:rFonts w:ascii="Times New Roman" w:eastAsia="Gulim" w:hAnsi="Times New Roman" w:cs="Times New Roman"/>
          <w:sz w:val="24"/>
          <w:szCs w:val="24"/>
        </w:rPr>
        <w:t xml:space="preserve">Since the body of a porcelain artifact is almost impossible to examine unless the vessel is broken, Canton porcelain can also be identified by its glaze properties. The glaze of Canton porcelain is of poorer </w:t>
      </w:r>
      <w:r w:rsidR="00B813D4" w:rsidRPr="000C6D64">
        <w:rPr>
          <w:rFonts w:ascii="Times New Roman" w:eastAsia="Gulim" w:hAnsi="Times New Roman" w:cs="Times New Roman"/>
          <w:sz w:val="24"/>
          <w:szCs w:val="24"/>
        </w:rPr>
        <w:t>quality than that of other type</w:t>
      </w:r>
      <w:r w:rsidR="00BD3CB4" w:rsidRPr="000C6D64">
        <w:rPr>
          <w:rFonts w:ascii="Times New Roman" w:eastAsia="Gulim" w:hAnsi="Times New Roman" w:cs="Times New Roman"/>
          <w:sz w:val="24"/>
          <w:szCs w:val="24"/>
        </w:rPr>
        <w:t xml:space="preserve"> and it </w:t>
      </w:r>
      <w:r w:rsidR="00B813D4" w:rsidRPr="000C6D64">
        <w:rPr>
          <w:rFonts w:ascii="Times New Roman" w:eastAsia="Gulim" w:hAnsi="Times New Roman" w:cs="Times New Roman"/>
          <w:sz w:val="24"/>
          <w:szCs w:val="24"/>
        </w:rPr>
        <w:t>possesses a</w:t>
      </w:r>
      <w:r w:rsidR="00BD3CB4" w:rsidRPr="000C6D64">
        <w:rPr>
          <w:rFonts w:ascii="Times New Roman" w:eastAsia="Gulim" w:hAnsi="Times New Roman" w:cs="Times New Roman"/>
          <w:sz w:val="24"/>
          <w:szCs w:val="24"/>
        </w:rPr>
        <w:t xml:space="preserve"> slight “oatmeal” texture, that is to say a rippled surface texture,</w:t>
      </w:r>
      <w:r w:rsidR="00B813D4" w:rsidRPr="000C6D64">
        <w:rPr>
          <w:rFonts w:ascii="Times New Roman" w:eastAsia="Gulim" w:hAnsi="Times New Roman" w:cs="Times New Roman"/>
          <w:sz w:val="24"/>
          <w:szCs w:val="24"/>
        </w:rPr>
        <w:t xml:space="preserve"> with occasional pinholes and inclusions. </w:t>
      </w:r>
      <w:r w:rsidR="00457FF9" w:rsidRPr="000C6D64">
        <w:rPr>
          <w:rFonts w:ascii="Times New Roman" w:eastAsia="Gulim" w:hAnsi="Times New Roman" w:cs="Times New Roman"/>
          <w:sz w:val="24"/>
          <w:szCs w:val="24"/>
        </w:rPr>
        <w:t xml:space="preserve">In terms of decoration, it is characterized by a grayish white background color with broad brush-stroked designs </w:t>
      </w:r>
      <w:r w:rsidR="001B78A7" w:rsidRPr="000C6D64">
        <w:rPr>
          <w:rFonts w:ascii="Times New Roman" w:eastAsia="Gulim" w:hAnsi="Times New Roman" w:cs="Times New Roman"/>
          <w:sz w:val="24"/>
          <w:szCs w:val="24"/>
        </w:rPr>
        <w:t xml:space="preserve">in shades of blue ranging in color from watery-gray blue to cobalt. The rim would have </w:t>
      </w:r>
      <w:r w:rsidR="001B78A7" w:rsidRPr="000C6D64">
        <w:rPr>
          <w:rFonts w:ascii="Times New Roman" w:eastAsia="Gulim" w:hAnsi="Times New Roman" w:cs="Times New Roman"/>
          <w:sz w:val="24"/>
          <w:szCs w:val="24"/>
        </w:rPr>
        <w:lastRenderedPageBreak/>
        <w:t>been decorated with blue lattice-type designs followed by wavy or scalloped lines. Common decorative motifs featured on the central medallion included pagodas, bridges and boats</w:t>
      </w:r>
      <w:r w:rsidR="00F93FC1" w:rsidRPr="000C6D64">
        <w:rPr>
          <w:rStyle w:val="FootnoteReference"/>
          <w:rFonts w:ascii="Times New Roman" w:eastAsia="Gulim" w:hAnsi="Times New Roman" w:cs="Times New Roman"/>
          <w:sz w:val="24"/>
          <w:szCs w:val="24"/>
        </w:rPr>
        <w:footnoteReference w:id="1"/>
      </w:r>
      <w:r w:rsidR="001B78A7" w:rsidRPr="000C6D64">
        <w:rPr>
          <w:rFonts w:ascii="Times New Roman" w:eastAsia="Gulim" w:hAnsi="Times New Roman" w:cs="Times New Roman"/>
          <w:sz w:val="24"/>
          <w:szCs w:val="24"/>
        </w:rPr>
        <w:t xml:space="preserve">. </w:t>
      </w:r>
    </w:p>
    <w:p w:rsidR="00D41A76" w:rsidRPr="000C6D64" w:rsidRDefault="00D41A76" w:rsidP="000C6D64">
      <w:pPr>
        <w:spacing w:line="480" w:lineRule="auto"/>
        <w:contextualSpacing/>
        <w:rPr>
          <w:rFonts w:ascii="Times New Roman" w:eastAsia="Gulim" w:hAnsi="Times New Roman" w:cs="Times New Roman"/>
          <w:sz w:val="24"/>
          <w:szCs w:val="24"/>
        </w:rPr>
      </w:pPr>
      <w:r w:rsidRPr="000C6D64">
        <w:rPr>
          <w:rFonts w:ascii="Times New Roman" w:eastAsia="Gulim" w:hAnsi="Times New Roman" w:cs="Times New Roman"/>
          <w:sz w:val="24"/>
          <w:szCs w:val="24"/>
        </w:rPr>
        <w:t xml:space="preserve">Like any porcelain, it would have been fired at temperatures of 1300-1450 degrees </w:t>
      </w:r>
      <w:r w:rsidR="00F15307" w:rsidRPr="000C6D64">
        <w:rPr>
          <w:rFonts w:ascii="Times New Roman" w:eastAsia="Gulim" w:hAnsi="Times New Roman" w:cs="Times New Roman"/>
          <w:sz w:val="24"/>
          <w:szCs w:val="24"/>
        </w:rPr>
        <w:t>Celsius</w:t>
      </w:r>
      <w:r w:rsidRPr="000C6D64">
        <w:rPr>
          <w:rFonts w:ascii="Times New Roman" w:eastAsia="Gulim" w:hAnsi="Times New Roman" w:cs="Times New Roman"/>
          <w:sz w:val="24"/>
          <w:szCs w:val="24"/>
        </w:rPr>
        <w:t xml:space="preserve">. </w:t>
      </w:r>
      <w:r w:rsidR="002B0D48" w:rsidRPr="000C6D64">
        <w:rPr>
          <w:rFonts w:ascii="Times New Roman" w:eastAsia="Gulim" w:hAnsi="Times New Roman" w:cs="Times New Roman"/>
          <w:sz w:val="24"/>
          <w:szCs w:val="24"/>
        </w:rPr>
        <w:t>Canton porcelain gets its name from both its decoration and design styles as well as where it was exported from. This type of porcelain was most likely manufactured and fired at the Provence of Ching-Te Chen then sent to the port of Canton to be decorated and exported. C</w:t>
      </w:r>
      <w:r w:rsidR="00F15307" w:rsidRPr="000C6D64">
        <w:rPr>
          <w:rFonts w:ascii="Times New Roman" w:eastAsia="Gulim" w:hAnsi="Times New Roman" w:cs="Times New Roman"/>
          <w:sz w:val="24"/>
          <w:szCs w:val="24"/>
        </w:rPr>
        <w:t>hinese Canton</w:t>
      </w:r>
      <w:r w:rsidR="002B0D48" w:rsidRPr="000C6D64">
        <w:rPr>
          <w:rFonts w:ascii="Times New Roman" w:eastAsia="Gulim" w:hAnsi="Times New Roman" w:cs="Times New Roman"/>
          <w:sz w:val="24"/>
          <w:szCs w:val="24"/>
        </w:rPr>
        <w:t>, and most other types of Chinese-manufactured porcelains, was</w:t>
      </w:r>
      <w:r w:rsidR="00F15307" w:rsidRPr="000C6D64">
        <w:rPr>
          <w:rFonts w:ascii="Times New Roman" w:eastAsia="Gulim" w:hAnsi="Times New Roman" w:cs="Times New Roman"/>
          <w:sz w:val="24"/>
          <w:szCs w:val="24"/>
        </w:rPr>
        <w:t xml:space="preserve"> known as “ballast ware” </w:t>
      </w:r>
      <w:r w:rsidR="002B0D48" w:rsidRPr="000C6D64">
        <w:rPr>
          <w:rFonts w:ascii="Times New Roman" w:eastAsia="Gulim" w:hAnsi="Times New Roman" w:cs="Times New Roman"/>
          <w:sz w:val="24"/>
          <w:szCs w:val="24"/>
        </w:rPr>
        <w:t>due to the way it was transported to America</w:t>
      </w:r>
      <w:r w:rsidR="00F15307" w:rsidRPr="000C6D64">
        <w:rPr>
          <w:rFonts w:ascii="Times New Roman" w:eastAsia="Gulim" w:hAnsi="Times New Roman" w:cs="Times New Roman"/>
          <w:sz w:val="24"/>
          <w:szCs w:val="24"/>
        </w:rPr>
        <w:t>.</w:t>
      </w:r>
      <w:r w:rsidR="002B0D48" w:rsidRPr="000C6D64">
        <w:rPr>
          <w:rFonts w:ascii="Times New Roman" w:eastAsia="Gulim" w:hAnsi="Times New Roman" w:cs="Times New Roman"/>
          <w:sz w:val="24"/>
          <w:szCs w:val="24"/>
        </w:rPr>
        <w:t xml:space="preserve"> Once in America, the Canton sets would have usually found their way to the merchant class—who followed the example of George Washington who favored Canton sets for dinner</w:t>
      </w:r>
      <w:r w:rsidR="00D14EF9" w:rsidRPr="000C6D64">
        <w:rPr>
          <w:rStyle w:val="FootnoteReference"/>
          <w:rFonts w:ascii="Times New Roman" w:eastAsia="Gulim" w:hAnsi="Times New Roman" w:cs="Times New Roman"/>
          <w:sz w:val="24"/>
          <w:szCs w:val="24"/>
        </w:rPr>
        <w:footnoteReference w:id="2"/>
      </w:r>
      <w:r w:rsidR="002B0D48" w:rsidRPr="000C6D64">
        <w:rPr>
          <w:rFonts w:ascii="Times New Roman" w:eastAsia="Gulim" w:hAnsi="Times New Roman" w:cs="Times New Roman"/>
          <w:sz w:val="24"/>
          <w:szCs w:val="24"/>
        </w:rPr>
        <w:t xml:space="preserve">. </w:t>
      </w:r>
    </w:p>
    <w:p w:rsidR="00D41A76" w:rsidRPr="000C6D64" w:rsidRDefault="00D14EF9" w:rsidP="000C6D64">
      <w:pPr>
        <w:spacing w:line="480" w:lineRule="auto"/>
        <w:contextualSpacing/>
        <w:rPr>
          <w:rFonts w:ascii="Times New Roman" w:eastAsia="Gulim" w:hAnsi="Times New Roman" w:cs="Times New Roman"/>
          <w:sz w:val="24"/>
          <w:szCs w:val="24"/>
        </w:rPr>
      </w:pPr>
      <w:r w:rsidRPr="000C6D64">
        <w:rPr>
          <w:rFonts w:ascii="Times New Roman" w:eastAsia="Gulim" w:hAnsi="Times New Roman" w:cs="Times New Roman"/>
          <w:sz w:val="24"/>
          <w:szCs w:val="24"/>
        </w:rPr>
        <w:t>This particular fragment is quite small—the bottom is 2 ¾ cm, the slanted side is 1 ½ cm, the top is 1 ¾ cm, and the straight side is 1 ¼ cm. Overall, it has a thickness that that increases from 1mm to 2.5mm</w:t>
      </w:r>
      <w:r w:rsidR="002B0D48" w:rsidRPr="000C6D64">
        <w:rPr>
          <w:rFonts w:ascii="Times New Roman" w:eastAsia="Gulim" w:hAnsi="Times New Roman" w:cs="Times New Roman"/>
          <w:sz w:val="24"/>
          <w:szCs w:val="24"/>
        </w:rPr>
        <w:t>. The porcelain is de</w:t>
      </w:r>
      <w:r w:rsidR="00D41A76" w:rsidRPr="000C6D64">
        <w:rPr>
          <w:rFonts w:ascii="Times New Roman" w:eastAsia="Gulim" w:hAnsi="Times New Roman" w:cs="Times New Roman"/>
          <w:sz w:val="24"/>
          <w:szCs w:val="24"/>
        </w:rPr>
        <w:t xml:space="preserve">corated with varying shades of blue. The outer edge is painted with what is simply a decorative pattern while it turns into what would have been part of an actual image or motif as it moves towards what would have been the center of the intact object. While Canton porcelain commonly took the form of a bowl, plate, or platter, this particular fragment is too small to be able to ascertain a diameter that would indicate what type of vessel of which it would have been a part. </w:t>
      </w:r>
      <w:r w:rsidR="002B0D48" w:rsidRPr="000C6D64">
        <w:rPr>
          <w:rFonts w:ascii="Times New Roman" w:eastAsia="Gulim" w:hAnsi="Times New Roman" w:cs="Times New Roman"/>
          <w:sz w:val="24"/>
          <w:szCs w:val="24"/>
        </w:rPr>
        <w:t>The brown inclusion is indicative</w:t>
      </w:r>
      <w:r w:rsidR="00B813D4" w:rsidRPr="000C6D64">
        <w:rPr>
          <w:rFonts w:ascii="Times New Roman" w:eastAsia="Gulim" w:hAnsi="Times New Roman" w:cs="Times New Roman"/>
          <w:sz w:val="24"/>
          <w:szCs w:val="24"/>
        </w:rPr>
        <w:t xml:space="preserve"> of the slightly poorer quality crafting and glazing that typified Canton porcelain</w:t>
      </w:r>
      <w:r w:rsidR="002B0D48" w:rsidRPr="000C6D64">
        <w:rPr>
          <w:rFonts w:ascii="Times New Roman" w:eastAsia="Gulim" w:hAnsi="Times New Roman" w:cs="Times New Roman"/>
          <w:sz w:val="24"/>
          <w:szCs w:val="24"/>
        </w:rPr>
        <w:t xml:space="preserve">. </w:t>
      </w:r>
    </w:p>
    <w:p w:rsidR="000E3657" w:rsidRPr="000C6D64" w:rsidRDefault="002B0D48" w:rsidP="000C6D64">
      <w:pPr>
        <w:spacing w:line="480" w:lineRule="auto"/>
        <w:contextualSpacing/>
        <w:rPr>
          <w:rFonts w:ascii="Times New Roman" w:eastAsia="Gulim" w:hAnsi="Times New Roman" w:cs="Times New Roman"/>
          <w:sz w:val="24"/>
          <w:szCs w:val="24"/>
        </w:rPr>
      </w:pPr>
      <w:r w:rsidRPr="000C6D64">
        <w:rPr>
          <w:rFonts w:ascii="Times New Roman" w:eastAsia="Gulim" w:hAnsi="Times New Roman" w:cs="Times New Roman"/>
          <w:sz w:val="24"/>
          <w:szCs w:val="24"/>
        </w:rPr>
        <w:t xml:space="preserve">This object was found in </w:t>
      </w:r>
      <w:r w:rsidR="008626E4" w:rsidRPr="000C6D64">
        <w:rPr>
          <w:rFonts w:ascii="Times New Roman" w:eastAsia="Gulim" w:hAnsi="Times New Roman" w:cs="Times New Roman"/>
          <w:sz w:val="24"/>
          <w:szCs w:val="24"/>
        </w:rPr>
        <w:t xml:space="preserve">JBH 57 of Unit 8. Other finds in the unit consisted of creamware (1760-1820), pearlware (1780-1840), whiteware (1820-present), chinese porcelain </w:t>
      </w:r>
      <w:r w:rsidR="008626E4" w:rsidRPr="000C6D64">
        <w:rPr>
          <w:rFonts w:ascii="Times New Roman" w:eastAsia="Gulim" w:hAnsi="Times New Roman" w:cs="Times New Roman"/>
          <w:sz w:val="24"/>
          <w:szCs w:val="24"/>
        </w:rPr>
        <w:lastRenderedPageBreak/>
        <w:t xml:space="preserve">with a gold rim, other porcelain fragments, European soft paste porcelain (1745-1800), brown colored lead glaze redware (1725-present), large red ceramic drain pipes, 1946 wheat penny, duct tape, and a Twix candy wrapper. The surrounding contexts also featured types of porcelain, but </w:t>
      </w:r>
      <w:r w:rsidR="00004A0B" w:rsidRPr="000C6D64">
        <w:rPr>
          <w:rFonts w:ascii="Times New Roman" w:eastAsia="Gulim" w:hAnsi="Times New Roman" w:cs="Times New Roman"/>
          <w:sz w:val="24"/>
          <w:szCs w:val="24"/>
        </w:rPr>
        <w:t>there were some finds, such as a coffee lid in the context above it and a canvas tarp in the context below it, that make it difficult to figure out the context in which the object would have been deposited</w:t>
      </w:r>
      <w:r w:rsidR="00D917FB" w:rsidRPr="000C6D64">
        <w:rPr>
          <w:rStyle w:val="FootnoteReference"/>
          <w:rFonts w:ascii="Times New Roman" w:eastAsia="Gulim" w:hAnsi="Times New Roman" w:cs="Times New Roman"/>
          <w:sz w:val="24"/>
          <w:szCs w:val="24"/>
        </w:rPr>
        <w:footnoteReference w:id="3"/>
      </w:r>
      <w:r w:rsidR="008626E4" w:rsidRPr="000C6D64">
        <w:rPr>
          <w:rFonts w:ascii="Times New Roman" w:eastAsia="Gulim" w:hAnsi="Times New Roman" w:cs="Times New Roman"/>
          <w:sz w:val="24"/>
          <w:szCs w:val="24"/>
        </w:rPr>
        <w:t xml:space="preserve">. </w:t>
      </w:r>
    </w:p>
    <w:p w:rsidR="000E3657" w:rsidRPr="000C6D64" w:rsidRDefault="00A31196" w:rsidP="000C6D64">
      <w:pPr>
        <w:spacing w:line="480" w:lineRule="auto"/>
        <w:contextualSpacing/>
        <w:rPr>
          <w:rFonts w:ascii="Times New Roman" w:eastAsia="Gulim" w:hAnsi="Times New Roman" w:cs="Times New Roman"/>
          <w:sz w:val="24"/>
          <w:szCs w:val="24"/>
        </w:rPr>
      </w:pPr>
      <w:r w:rsidRPr="000C6D64">
        <w:rPr>
          <w:rFonts w:ascii="Times New Roman" w:eastAsia="Gulim" w:hAnsi="Times New Roman" w:cs="Times New Roman"/>
          <w:sz w:val="24"/>
          <w:szCs w:val="24"/>
        </w:rPr>
        <w:t xml:space="preserve">The huge range of dates between the objects found in JBH 57 and also the fact that contemporary items (the canvas tarp) was found below this Canton porcelain shard </w:t>
      </w:r>
      <w:r w:rsidR="00325DB7" w:rsidRPr="000C6D64">
        <w:rPr>
          <w:rFonts w:ascii="Times New Roman" w:eastAsia="Gulim" w:hAnsi="Times New Roman" w:cs="Times New Roman"/>
          <w:sz w:val="24"/>
          <w:szCs w:val="24"/>
        </w:rPr>
        <w:t xml:space="preserve">makes it difficult to determine how or why this article got deposited. </w:t>
      </w:r>
      <w:r w:rsidR="00E92256" w:rsidRPr="000C6D64">
        <w:rPr>
          <w:rFonts w:ascii="Times New Roman" w:eastAsia="Gulim" w:hAnsi="Times New Roman" w:cs="Times New Roman"/>
          <w:sz w:val="24"/>
          <w:szCs w:val="24"/>
        </w:rPr>
        <w:t xml:space="preserve">The fact that this was obviously deposited with a </w:t>
      </w:r>
      <w:r w:rsidR="007A091D" w:rsidRPr="000C6D64">
        <w:rPr>
          <w:rFonts w:ascii="Times New Roman" w:eastAsia="Gulim" w:hAnsi="Times New Roman" w:cs="Times New Roman"/>
          <w:sz w:val="24"/>
          <w:szCs w:val="24"/>
        </w:rPr>
        <w:t xml:space="preserve">random variety of objects evidences some sort of dumping situation. </w:t>
      </w:r>
    </w:p>
    <w:p w:rsidR="00AB1B20" w:rsidRPr="000C6D64" w:rsidRDefault="000E3657" w:rsidP="000C6D64">
      <w:pPr>
        <w:spacing w:line="480" w:lineRule="auto"/>
        <w:contextualSpacing/>
        <w:rPr>
          <w:rFonts w:ascii="Times New Roman" w:eastAsia="Gulim" w:hAnsi="Times New Roman" w:cs="Times New Roman"/>
          <w:sz w:val="24"/>
          <w:szCs w:val="24"/>
        </w:rPr>
      </w:pPr>
      <w:r w:rsidRPr="000C6D64">
        <w:rPr>
          <w:rFonts w:ascii="Times New Roman" w:eastAsia="Gulim" w:hAnsi="Times New Roman" w:cs="Times New Roman"/>
          <w:sz w:val="24"/>
          <w:szCs w:val="24"/>
        </w:rPr>
        <w:t>I’m going to assume that Unit 8 was the location for a variety of “dumps.” It’s very close in proximity to the 3-story addition made by Elizabeth Amory Ives Gammell in the 1850s and the interior changes to the dining room made by Marsden Perry in the early 1900s</w:t>
      </w:r>
      <w:r w:rsidR="00D14EF9" w:rsidRPr="000C6D64">
        <w:rPr>
          <w:rStyle w:val="FootnoteReference"/>
          <w:rFonts w:ascii="Times New Roman" w:eastAsia="Gulim" w:hAnsi="Times New Roman" w:cs="Times New Roman"/>
          <w:sz w:val="24"/>
          <w:szCs w:val="24"/>
        </w:rPr>
        <w:footnoteReference w:id="4"/>
      </w:r>
      <w:r w:rsidRPr="000C6D64">
        <w:rPr>
          <w:rFonts w:ascii="Times New Roman" w:eastAsia="Gulim" w:hAnsi="Times New Roman" w:cs="Times New Roman"/>
          <w:sz w:val="24"/>
          <w:szCs w:val="24"/>
        </w:rPr>
        <w:t xml:space="preserve">. I think one explanation for this wide variety of objects (including this Canton porcelain shard) is that when the house was being built upon, this particular location was used as a dumping ground when the extensive architectural changes were being made close nearby. </w:t>
      </w:r>
      <w:r w:rsidR="00996015" w:rsidRPr="000C6D64">
        <w:rPr>
          <w:rFonts w:ascii="Times New Roman" w:eastAsia="Gulim" w:hAnsi="Times New Roman" w:cs="Times New Roman"/>
          <w:sz w:val="24"/>
          <w:szCs w:val="24"/>
        </w:rPr>
        <w:t xml:space="preserve">It’s also possible that when the Rhode Island Historical Society took possession of the home in 1942 and made renovations, that the area was used for a dumping site. Regardless of when, I think that the most credible explanation for how this particular object got into Unit 8 is that it was dumped along with a variety of other objects during some sort of architectural update to the home. </w:t>
      </w:r>
    </w:p>
    <w:p w:rsidR="00995A5B" w:rsidRPr="000C6D64" w:rsidRDefault="00995A5B" w:rsidP="000C6D64">
      <w:pPr>
        <w:spacing w:line="480" w:lineRule="auto"/>
        <w:contextualSpacing/>
        <w:rPr>
          <w:rFonts w:ascii="Times New Roman" w:eastAsia="Gulim" w:hAnsi="Times New Roman" w:cs="Times New Roman"/>
          <w:sz w:val="24"/>
          <w:szCs w:val="24"/>
        </w:rPr>
      </w:pPr>
      <w:r w:rsidRPr="000C6D64">
        <w:rPr>
          <w:rFonts w:ascii="Times New Roman" w:eastAsia="Gulim" w:hAnsi="Times New Roman" w:cs="Times New Roman"/>
          <w:noProof/>
          <w:sz w:val="24"/>
          <w:szCs w:val="24"/>
        </w:rPr>
        <w:lastRenderedPageBreak/>
        <w:drawing>
          <wp:inline distT="0" distB="0" distL="0" distR="0">
            <wp:extent cx="3330206" cy="2498240"/>
            <wp:effectExtent l="19050" t="0" r="3544" b="0"/>
            <wp:docPr id="12" name="Picture 12" descr="C:\Users\alyssa\Downloads\dumbness3\CIMG4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lyssa\Downloads\dumbness3\CIMG4932.JPG"/>
                    <pic:cNvPicPr>
                      <a:picLocks noChangeAspect="1" noChangeArrowheads="1"/>
                    </pic:cNvPicPr>
                  </pic:nvPicPr>
                  <pic:blipFill>
                    <a:blip r:embed="rId10" cstate="print"/>
                    <a:srcRect/>
                    <a:stretch>
                      <a:fillRect/>
                    </a:stretch>
                  </pic:blipFill>
                  <pic:spPr bwMode="auto">
                    <a:xfrm>
                      <a:off x="0" y="0"/>
                      <a:ext cx="3335155" cy="2501953"/>
                    </a:xfrm>
                    <a:prstGeom prst="rect">
                      <a:avLst/>
                    </a:prstGeom>
                    <a:noFill/>
                    <a:ln w="9525">
                      <a:noFill/>
                      <a:miter lim="800000"/>
                      <a:headEnd/>
                      <a:tailEnd/>
                    </a:ln>
                  </pic:spPr>
                </pic:pic>
              </a:graphicData>
            </a:graphic>
          </wp:inline>
        </w:drawing>
      </w:r>
    </w:p>
    <w:p w:rsidR="00DF56BE" w:rsidRPr="000C6D64" w:rsidRDefault="00DF56BE" w:rsidP="000C6D64">
      <w:pPr>
        <w:spacing w:line="480" w:lineRule="auto"/>
        <w:contextualSpacing/>
        <w:rPr>
          <w:rFonts w:ascii="Times New Roman" w:eastAsia="Gulim" w:hAnsi="Times New Roman" w:cs="Times New Roman"/>
          <w:sz w:val="24"/>
          <w:szCs w:val="24"/>
        </w:rPr>
      </w:pPr>
      <w:r w:rsidRPr="000C6D64">
        <w:rPr>
          <w:rFonts w:ascii="Times New Roman" w:eastAsia="Gulim" w:hAnsi="Times New Roman" w:cs="Times New Roman"/>
          <w:sz w:val="24"/>
          <w:szCs w:val="24"/>
        </w:rPr>
        <w:t>My 2</w:t>
      </w:r>
      <w:r w:rsidRPr="000C6D64">
        <w:rPr>
          <w:rFonts w:ascii="Times New Roman" w:eastAsia="Gulim" w:hAnsi="Times New Roman" w:cs="Times New Roman"/>
          <w:sz w:val="24"/>
          <w:szCs w:val="24"/>
          <w:vertAlign w:val="superscript"/>
        </w:rPr>
        <w:t>nd</w:t>
      </w:r>
      <w:r w:rsidRPr="000C6D64">
        <w:rPr>
          <w:rFonts w:ascii="Times New Roman" w:eastAsia="Gulim" w:hAnsi="Times New Roman" w:cs="Times New Roman"/>
          <w:sz w:val="24"/>
          <w:szCs w:val="24"/>
        </w:rPr>
        <w:t xml:space="preserve"> object biography is focused on 3 plastic fragments that came from the same object. </w:t>
      </w:r>
      <w:r w:rsidR="009C2ADB" w:rsidRPr="000C6D64">
        <w:rPr>
          <w:rFonts w:ascii="Times New Roman" w:eastAsia="Gulim" w:hAnsi="Times New Roman" w:cs="Times New Roman"/>
          <w:sz w:val="24"/>
          <w:szCs w:val="24"/>
        </w:rPr>
        <w:t>An avid coffee drinker myself, i</w:t>
      </w:r>
      <w:r w:rsidR="00D14EF9" w:rsidRPr="000C6D64">
        <w:rPr>
          <w:rFonts w:ascii="Times New Roman" w:eastAsia="Gulim" w:hAnsi="Times New Roman" w:cs="Times New Roman"/>
          <w:sz w:val="24"/>
          <w:szCs w:val="24"/>
        </w:rPr>
        <w:t xml:space="preserve">t was fairly easy to tell that these plastic fragments came from a plastic coffee cup lid. The 3 fragments had fairly similar dimensions. There is a thin curved piece that measure about 2 ½ cm across. There is a wider curved piece with 3 indentations in it, and that fragment also measures 2 ½ cm long. The third fragment is wider and has a sort of tab like protrusion from the center; this fragment measures 2 ¼ cm across. </w:t>
      </w:r>
      <w:r w:rsidR="009C2ADB" w:rsidRPr="000C6D64">
        <w:rPr>
          <w:rFonts w:ascii="Times New Roman" w:eastAsia="Gulim" w:hAnsi="Times New Roman" w:cs="Times New Roman"/>
          <w:sz w:val="24"/>
          <w:szCs w:val="24"/>
        </w:rPr>
        <w:t xml:space="preserve">Because of their coloring and construction, it is also safe to assume that the fragments all belonged to the same object. </w:t>
      </w:r>
    </w:p>
    <w:p w:rsidR="00D14EF9" w:rsidRPr="000C6D64" w:rsidRDefault="006C0273" w:rsidP="000C6D64">
      <w:pPr>
        <w:spacing w:line="480" w:lineRule="auto"/>
        <w:contextualSpacing/>
        <w:rPr>
          <w:rFonts w:ascii="Times New Roman" w:eastAsia="Gulim" w:hAnsi="Times New Roman" w:cs="Times New Roman"/>
          <w:sz w:val="24"/>
          <w:szCs w:val="24"/>
        </w:rPr>
      </w:pPr>
      <w:r w:rsidRPr="000C6D64">
        <w:rPr>
          <w:rFonts w:ascii="Times New Roman" w:eastAsia="Gulim" w:hAnsi="Times New Roman" w:cs="Times New Roman"/>
          <w:sz w:val="24"/>
          <w:szCs w:val="24"/>
        </w:rPr>
        <w:t>Although it was fairly obvious that the fragments were once part of a coffee cup lid, t</w:t>
      </w:r>
      <w:r w:rsidR="00D14EF9" w:rsidRPr="000C6D64">
        <w:rPr>
          <w:rFonts w:ascii="Times New Roman" w:eastAsia="Gulim" w:hAnsi="Times New Roman" w:cs="Times New Roman"/>
          <w:sz w:val="24"/>
          <w:szCs w:val="24"/>
        </w:rPr>
        <w:t xml:space="preserve">he problem with </w:t>
      </w:r>
      <w:r w:rsidRPr="000C6D64">
        <w:rPr>
          <w:rFonts w:ascii="Times New Roman" w:eastAsia="Gulim" w:hAnsi="Times New Roman" w:cs="Times New Roman"/>
          <w:sz w:val="24"/>
          <w:szCs w:val="24"/>
        </w:rPr>
        <w:t>these fragments</w:t>
      </w:r>
      <w:r w:rsidR="00D14EF9" w:rsidRPr="000C6D64">
        <w:rPr>
          <w:rFonts w:ascii="Times New Roman" w:eastAsia="Gulim" w:hAnsi="Times New Roman" w:cs="Times New Roman"/>
          <w:sz w:val="24"/>
          <w:szCs w:val="24"/>
        </w:rPr>
        <w:t xml:space="preserve"> arises in dating. Although plastic coffee cup lids haven’t been around for hundreds of years, it was still difficult to provide some sort of date for these fragments. </w:t>
      </w:r>
      <w:r w:rsidR="009C2ADB" w:rsidRPr="000C6D64">
        <w:rPr>
          <w:rFonts w:ascii="Times New Roman" w:eastAsia="Gulim" w:hAnsi="Times New Roman" w:cs="Times New Roman"/>
          <w:sz w:val="24"/>
          <w:szCs w:val="24"/>
        </w:rPr>
        <w:t>After a brief look at the excavation report from 2008, I saw that this lid wasn’t like the McDonald’s lid that had been found in Unit 1</w:t>
      </w:r>
      <w:r w:rsidR="009C2ADB" w:rsidRPr="000C6D64">
        <w:rPr>
          <w:rStyle w:val="FootnoteReference"/>
          <w:rFonts w:ascii="Times New Roman" w:eastAsia="Gulim" w:hAnsi="Times New Roman" w:cs="Times New Roman"/>
          <w:sz w:val="24"/>
          <w:szCs w:val="24"/>
        </w:rPr>
        <w:footnoteReference w:id="5"/>
      </w:r>
      <w:r w:rsidR="009C2ADB" w:rsidRPr="000C6D64">
        <w:rPr>
          <w:rFonts w:ascii="Times New Roman" w:eastAsia="Gulim" w:hAnsi="Times New Roman" w:cs="Times New Roman"/>
          <w:sz w:val="24"/>
          <w:szCs w:val="24"/>
        </w:rPr>
        <w:t>.</w:t>
      </w:r>
      <w:r w:rsidRPr="000C6D64">
        <w:rPr>
          <w:rFonts w:ascii="Times New Roman" w:eastAsia="Gulim" w:hAnsi="Times New Roman" w:cs="Times New Roman"/>
          <w:sz w:val="24"/>
          <w:szCs w:val="24"/>
        </w:rPr>
        <w:t xml:space="preserve"> After ruling out that I would be able to date the cup in terms of the history of the company by which it was produced, I had to think of a </w:t>
      </w:r>
      <w:r w:rsidRPr="000C6D64">
        <w:rPr>
          <w:rFonts w:ascii="Times New Roman" w:eastAsia="Gulim" w:hAnsi="Times New Roman" w:cs="Times New Roman"/>
          <w:sz w:val="24"/>
          <w:szCs w:val="24"/>
        </w:rPr>
        <w:lastRenderedPageBreak/>
        <w:t xml:space="preserve">different way to find a date for the fragments. </w:t>
      </w:r>
      <w:r w:rsidR="00D14EF9" w:rsidRPr="000C6D64">
        <w:rPr>
          <w:rFonts w:ascii="Times New Roman" w:eastAsia="Gulim" w:hAnsi="Times New Roman" w:cs="Times New Roman"/>
          <w:sz w:val="24"/>
          <w:szCs w:val="24"/>
        </w:rPr>
        <w:t xml:space="preserve">I wasn’t lucky enough to </w:t>
      </w:r>
      <w:r w:rsidR="00537832" w:rsidRPr="000C6D64">
        <w:rPr>
          <w:rFonts w:ascii="Times New Roman" w:eastAsia="Gulim" w:hAnsi="Times New Roman" w:cs="Times New Roman"/>
          <w:sz w:val="24"/>
          <w:szCs w:val="24"/>
        </w:rPr>
        <w:t xml:space="preserve">find some sort of brand name, patent number, or other immediately identifiable characteristics, </w:t>
      </w:r>
      <w:r w:rsidR="00D14EF9" w:rsidRPr="000C6D64">
        <w:rPr>
          <w:rFonts w:ascii="Times New Roman" w:eastAsia="Gulim" w:hAnsi="Times New Roman" w:cs="Times New Roman"/>
          <w:sz w:val="24"/>
          <w:szCs w:val="24"/>
        </w:rPr>
        <w:t xml:space="preserve">so I decided to take a look at coffee cup lid patents and see if I could find a type that seemed to match my fragments. </w:t>
      </w:r>
    </w:p>
    <w:p w:rsidR="00F1204F" w:rsidRPr="000C6D64" w:rsidRDefault="00F1204F" w:rsidP="000C6D64">
      <w:pPr>
        <w:spacing w:line="480" w:lineRule="auto"/>
        <w:contextualSpacing/>
        <w:rPr>
          <w:rFonts w:ascii="Times New Roman" w:eastAsia="Gulim" w:hAnsi="Times New Roman" w:cs="Times New Roman"/>
          <w:sz w:val="24"/>
          <w:szCs w:val="24"/>
        </w:rPr>
      </w:pPr>
      <w:r w:rsidRPr="000C6D64">
        <w:rPr>
          <w:rFonts w:ascii="Times New Roman" w:eastAsia="Gulim" w:hAnsi="Times New Roman" w:cs="Times New Roman"/>
          <w:sz w:val="24"/>
          <w:szCs w:val="24"/>
        </w:rPr>
        <w:t xml:space="preserve">The distinguishing features of this particular lid </w:t>
      </w:r>
      <w:r w:rsidR="00D64A83" w:rsidRPr="000C6D64">
        <w:rPr>
          <w:rFonts w:ascii="Times New Roman" w:eastAsia="Gulim" w:hAnsi="Times New Roman" w:cs="Times New Roman"/>
          <w:sz w:val="24"/>
          <w:szCs w:val="24"/>
        </w:rPr>
        <w:t>are</w:t>
      </w:r>
      <w:r w:rsidRPr="000C6D64">
        <w:rPr>
          <w:rFonts w:ascii="Times New Roman" w:eastAsia="Gulim" w:hAnsi="Times New Roman" w:cs="Times New Roman"/>
          <w:sz w:val="24"/>
          <w:szCs w:val="24"/>
        </w:rPr>
        <w:t xml:space="preserve"> in the various indentations and ridges in the design feature. </w:t>
      </w:r>
      <w:r w:rsidR="00537832" w:rsidRPr="000C6D64">
        <w:rPr>
          <w:rFonts w:ascii="Times New Roman" w:eastAsia="Gulim" w:hAnsi="Times New Roman" w:cs="Times New Roman"/>
          <w:sz w:val="24"/>
          <w:szCs w:val="24"/>
        </w:rPr>
        <w:t>Generally, c</w:t>
      </w:r>
      <w:r w:rsidR="00D64A83" w:rsidRPr="000C6D64">
        <w:rPr>
          <w:rFonts w:ascii="Times New Roman" w:eastAsia="Gulim" w:hAnsi="Times New Roman" w:cs="Times New Roman"/>
          <w:sz w:val="24"/>
          <w:szCs w:val="24"/>
        </w:rPr>
        <w:t>offee cup lids patented after 2000 are fairly smooth in terms of their design</w:t>
      </w:r>
      <w:r w:rsidR="000C6D64">
        <w:rPr>
          <w:rStyle w:val="FootnoteReference"/>
          <w:rFonts w:ascii="Times New Roman" w:eastAsia="Gulim" w:hAnsi="Times New Roman" w:cs="Times New Roman"/>
          <w:sz w:val="24"/>
          <w:szCs w:val="24"/>
        </w:rPr>
        <w:footnoteReference w:id="6"/>
      </w:r>
      <w:r w:rsidR="00D64A83" w:rsidRPr="000C6D64">
        <w:rPr>
          <w:rFonts w:ascii="Times New Roman" w:eastAsia="Gulim" w:hAnsi="Times New Roman" w:cs="Times New Roman"/>
          <w:sz w:val="24"/>
          <w:szCs w:val="24"/>
        </w:rPr>
        <w:t>. The only indentations</w:t>
      </w:r>
      <w:r w:rsidR="00537832" w:rsidRPr="000C6D64">
        <w:rPr>
          <w:rFonts w:ascii="Times New Roman" w:eastAsia="Gulim" w:hAnsi="Times New Roman" w:cs="Times New Roman"/>
          <w:sz w:val="24"/>
          <w:szCs w:val="24"/>
        </w:rPr>
        <w:t xml:space="preserve"> of these types</w:t>
      </w:r>
      <w:r w:rsidR="00D64A83" w:rsidRPr="000C6D64">
        <w:rPr>
          <w:rFonts w:ascii="Times New Roman" w:eastAsia="Gulim" w:hAnsi="Times New Roman" w:cs="Times New Roman"/>
          <w:sz w:val="24"/>
          <w:szCs w:val="24"/>
        </w:rPr>
        <w:t xml:space="preserve"> are in the form of the hole</w:t>
      </w:r>
      <w:r w:rsidR="00537832" w:rsidRPr="000C6D64">
        <w:rPr>
          <w:rFonts w:ascii="Times New Roman" w:eastAsia="Gulim" w:hAnsi="Times New Roman" w:cs="Times New Roman"/>
          <w:sz w:val="24"/>
          <w:szCs w:val="24"/>
        </w:rPr>
        <w:t>s</w:t>
      </w:r>
      <w:r w:rsidR="00D64A83" w:rsidRPr="000C6D64">
        <w:rPr>
          <w:rFonts w:ascii="Times New Roman" w:eastAsia="Gulim" w:hAnsi="Times New Roman" w:cs="Times New Roman"/>
          <w:sz w:val="24"/>
          <w:szCs w:val="24"/>
        </w:rPr>
        <w:t xml:space="preserve"> used for drinking, but the lids themselves are fairly simple</w:t>
      </w:r>
      <w:r w:rsidR="00537832" w:rsidRPr="000C6D64">
        <w:rPr>
          <w:rFonts w:ascii="Times New Roman" w:eastAsia="Gulim" w:hAnsi="Times New Roman" w:cs="Times New Roman"/>
          <w:sz w:val="24"/>
          <w:szCs w:val="24"/>
        </w:rPr>
        <w:t xml:space="preserve"> (think Starbucks coffee cup lids)</w:t>
      </w:r>
      <w:r w:rsidR="00D64A83" w:rsidRPr="000C6D64">
        <w:rPr>
          <w:rFonts w:ascii="Times New Roman" w:eastAsia="Gulim" w:hAnsi="Times New Roman" w:cs="Times New Roman"/>
          <w:sz w:val="24"/>
          <w:szCs w:val="24"/>
        </w:rPr>
        <w:t xml:space="preserve">. </w:t>
      </w:r>
      <w:r w:rsidR="00673E96" w:rsidRPr="000C6D64">
        <w:rPr>
          <w:rFonts w:ascii="Times New Roman" w:eastAsia="Gulim" w:hAnsi="Times New Roman" w:cs="Times New Roman"/>
          <w:sz w:val="24"/>
          <w:szCs w:val="24"/>
        </w:rPr>
        <w:t xml:space="preserve">The earliest </w:t>
      </w:r>
      <w:r w:rsidR="00537832" w:rsidRPr="000C6D64">
        <w:rPr>
          <w:rFonts w:ascii="Times New Roman" w:eastAsia="Gulim" w:hAnsi="Times New Roman" w:cs="Times New Roman"/>
          <w:sz w:val="24"/>
          <w:szCs w:val="24"/>
        </w:rPr>
        <w:t xml:space="preserve">plastic </w:t>
      </w:r>
      <w:r w:rsidR="00673E96" w:rsidRPr="000C6D64">
        <w:rPr>
          <w:rFonts w:ascii="Times New Roman" w:eastAsia="Gulim" w:hAnsi="Times New Roman" w:cs="Times New Roman"/>
          <w:sz w:val="24"/>
          <w:szCs w:val="24"/>
        </w:rPr>
        <w:t xml:space="preserve">coffee cup lid that </w:t>
      </w:r>
      <w:r w:rsidR="00537832" w:rsidRPr="000C6D64">
        <w:rPr>
          <w:rFonts w:ascii="Times New Roman" w:eastAsia="Gulim" w:hAnsi="Times New Roman" w:cs="Times New Roman"/>
          <w:sz w:val="24"/>
          <w:szCs w:val="24"/>
        </w:rPr>
        <w:t>was specifically marketed for its resealable “on-the-go” characteristics was from</w:t>
      </w:r>
      <w:r w:rsidR="00673E96" w:rsidRPr="000C6D64">
        <w:rPr>
          <w:rFonts w:ascii="Times New Roman" w:eastAsia="Gulim" w:hAnsi="Times New Roman" w:cs="Times New Roman"/>
          <w:sz w:val="24"/>
          <w:szCs w:val="24"/>
        </w:rPr>
        <w:t xml:space="preserve"> 1984</w:t>
      </w:r>
      <w:r w:rsidR="000C6D64">
        <w:rPr>
          <w:rStyle w:val="FootnoteReference"/>
          <w:rFonts w:ascii="Times New Roman" w:eastAsia="Gulim" w:hAnsi="Times New Roman" w:cs="Times New Roman"/>
          <w:sz w:val="24"/>
          <w:szCs w:val="24"/>
        </w:rPr>
        <w:footnoteReference w:id="7"/>
      </w:r>
      <w:r w:rsidR="00673E96" w:rsidRPr="000C6D64">
        <w:rPr>
          <w:rFonts w:ascii="Times New Roman" w:eastAsia="Gulim" w:hAnsi="Times New Roman" w:cs="Times New Roman"/>
          <w:sz w:val="24"/>
          <w:szCs w:val="24"/>
        </w:rPr>
        <w:t xml:space="preserve">, but the structure of that type of lid was much bulkier than that of the fragments I found. </w:t>
      </w:r>
      <w:r w:rsidR="004B111C" w:rsidRPr="000C6D64">
        <w:rPr>
          <w:rFonts w:ascii="Times New Roman" w:eastAsia="Gulim" w:hAnsi="Times New Roman" w:cs="Times New Roman"/>
          <w:sz w:val="24"/>
          <w:szCs w:val="24"/>
        </w:rPr>
        <w:t>It was in looking at the</w:t>
      </w:r>
      <w:r w:rsidR="00673E96" w:rsidRPr="000C6D64">
        <w:rPr>
          <w:rFonts w:ascii="Times New Roman" w:eastAsia="Gulim" w:hAnsi="Times New Roman" w:cs="Times New Roman"/>
          <w:sz w:val="24"/>
          <w:szCs w:val="24"/>
        </w:rPr>
        <w:t xml:space="preserve"> patents for coffee cup lids introduced between 1997</w:t>
      </w:r>
      <w:r w:rsidR="000C6D64">
        <w:rPr>
          <w:rStyle w:val="FootnoteReference"/>
          <w:rFonts w:ascii="Times New Roman" w:eastAsia="Gulim" w:hAnsi="Times New Roman" w:cs="Times New Roman"/>
          <w:sz w:val="24"/>
          <w:szCs w:val="24"/>
        </w:rPr>
        <w:footnoteReference w:id="8"/>
      </w:r>
      <w:r w:rsidR="00673E96" w:rsidRPr="000C6D64">
        <w:rPr>
          <w:rFonts w:ascii="Times New Roman" w:eastAsia="Gulim" w:hAnsi="Times New Roman" w:cs="Times New Roman"/>
          <w:sz w:val="24"/>
          <w:szCs w:val="24"/>
        </w:rPr>
        <w:t xml:space="preserve"> a</w:t>
      </w:r>
      <w:r w:rsidR="004B111C" w:rsidRPr="000C6D64">
        <w:rPr>
          <w:rFonts w:ascii="Times New Roman" w:eastAsia="Gulim" w:hAnsi="Times New Roman" w:cs="Times New Roman"/>
          <w:sz w:val="24"/>
          <w:szCs w:val="24"/>
        </w:rPr>
        <w:t>nd 2000</w:t>
      </w:r>
      <w:r w:rsidR="00673E96" w:rsidRPr="000C6D64">
        <w:rPr>
          <w:rFonts w:ascii="Times New Roman" w:eastAsia="Gulim" w:hAnsi="Times New Roman" w:cs="Times New Roman"/>
          <w:sz w:val="24"/>
          <w:szCs w:val="24"/>
        </w:rPr>
        <w:t xml:space="preserve"> that I found a lot of coffee cup lid types that looked similar in structure to the ones I found. </w:t>
      </w:r>
    </w:p>
    <w:p w:rsidR="004B111C" w:rsidRPr="000C6D64" w:rsidRDefault="004B111C" w:rsidP="000C6D64">
      <w:pPr>
        <w:spacing w:line="480" w:lineRule="auto"/>
        <w:contextualSpacing/>
        <w:rPr>
          <w:rFonts w:ascii="Times New Roman" w:eastAsia="Gulim" w:hAnsi="Times New Roman" w:cs="Times New Roman"/>
          <w:sz w:val="24"/>
          <w:szCs w:val="24"/>
        </w:rPr>
      </w:pPr>
      <w:r w:rsidRPr="000C6D64">
        <w:rPr>
          <w:rFonts w:ascii="Times New Roman" w:eastAsia="Gulim" w:hAnsi="Times New Roman" w:cs="Times New Roman"/>
          <w:sz w:val="24"/>
          <w:szCs w:val="24"/>
        </w:rPr>
        <w:t xml:space="preserve">I would like to say that this particular coffee cup lid is of the variety that was introduced between 1997 and 2000. </w:t>
      </w:r>
      <w:r w:rsidR="009C2ADB" w:rsidRPr="000C6D64">
        <w:rPr>
          <w:rFonts w:ascii="Times New Roman" w:eastAsia="Gulim" w:hAnsi="Times New Roman" w:cs="Times New Roman"/>
          <w:sz w:val="24"/>
          <w:szCs w:val="24"/>
        </w:rPr>
        <w:t xml:space="preserve">In looking at various patent images for coffee cup lids introduced around the time, those lids had the same types of decorative indentations and raised areas that I saw on these fragments. </w:t>
      </w:r>
      <w:r w:rsidRPr="000C6D64">
        <w:rPr>
          <w:rFonts w:ascii="Times New Roman" w:eastAsia="Gulim" w:hAnsi="Times New Roman" w:cs="Times New Roman"/>
          <w:sz w:val="24"/>
          <w:szCs w:val="24"/>
        </w:rPr>
        <w:t>Although the Sherri Cup Company introduced their first to-go coffee cup in 1963</w:t>
      </w:r>
      <w:r w:rsidRPr="000C6D64">
        <w:rPr>
          <w:rStyle w:val="FootnoteReference"/>
          <w:rFonts w:ascii="Times New Roman" w:eastAsia="Gulim" w:hAnsi="Times New Roman" w:cs="Times New Roman"/>
          <w:sz w:val="24"/>
          <w:szCs w:val="24"/>
        </w:rPr>
        <w:footnoteReference w:id="9"/>
      </w:r>
      <w:r w:rsidRPr="000C6D64">
        <w:rPr>
          <w:rFonts w:ascii="Times New Roman" w:eastAsia="Gulim" w:hAnsi="Times New Roman" w:cs="Times New Roman"/>
          <w:sz w:val="24"/>
          <w:szCs w:val="24"/>
        </w:rPr>
        <w:t>, I don’t think that this type of lid can be dated that far back. Its characteristic indentations and rais</w:t>
      </w:r>
      <w:r w:rsidR="009C2ADB" w:rsidRPr="000C6D64">
        <w:rPr>
          <w:rFonts w:ascii="Times New Roman" w:eastAsia="Gulim" w:hAnsi="Times New Roman" w:cs="Times New Roman"/>
          <w:sz w:val="24"/>
          <w:szCs w:val="24"/>
        </w:rPr>
        <w:t>ed tab-like feature really seem</w:t>
      </w:r>
      <w:r w:rsidRPr="000C6D64">
        <w:rPr>
          <w:rFonts w:ascii="Times New Roman" w:eastAsia="Gulim" w:hAnsi="Times New Roman" w:cs="Times New Roman"/>
          <w:sz w:val="24"/>
          <w:szCs w:val="24"/>
        </w:rPr>
        <w:t xml:space="preserve"> to fit with the lids introduced between 1997 and 2000. While this doesn’t necessarily mean that the fragments were deposited within that time frame, it does mean that the earliest the coffee cup fragments were deposited was 1997. </w:t>
      </w:r>
    </w:p>
    <w:p w:rsidR="004B111C" w:rsidRPr="000C6D64" w:rsidRDefault="004B111C" w:rsidP="000C6D64">
      <w:pPr>
        <w:spacing w:line="480" w:lineRule="auto"/>
        <w:contextualSpacing/>
        <w:rPr>
          <w:rFonts w:ascii="Times New Roman" w:eastAsia="Gulim" w:hAnsi="Times New Roman" w:cs="Times New Roman"/>
          <w:sz w:val="24"/>
          <w:szCs w:val="24"/>
        </w:rPr>
      </w:pPr>
      <w:r w:rsidRPr="000C6D64">
        <w:rPr>
          <w:rFonts w:ascii="Times New Roman" w:eastAsia="Gulim" w:hAnsi="Times New Roman" w:cs="Times New Roman"/>
          <w:sz w:val="24"/>
          <w:szCs w:val="24"/>
        </w:rPr>
        <w:lastRenderedPageBreak/>
        <w:t xml:space="preserve">The next question is how did the coffee cup lid fragments get there? </w:t>
      </w:r>
      <w:r w:rsidR="001C244B" w:rsidRPr="000C6D64">
        <w:rPr>
          <w:rFonts w:ascii="Times New Roman" w:eastAsia="Gulim" w:hAnsi="Times New Roman" w:cs="Times New Roman"/>
          <w:sz w:val="24"/>
          <w:szCs w:val="24"/>
        </w:rPr>
        <w:t xml:space="preserve">At first, one might want to say that somebody was walking by after having finished drinking their coffee, and they dropped the fragments on the ground. But the object’s deposition has to be examined in context with the other objects it was found with. </w:t>
      </w:r>
      <w:r w:rsidRPr="000C6D64">
        <w:rPr>
          <w:rFonts w:ascii="Times New Roman" w:eastAsia="Gulim" w:hAnsi="Times New Roman" w:cs="Times New Roman"/>
          <w:sz w:val="24"/>
          <w:szCs w:val="24"/>
        </w:rPr>
        <w:t xml:space="preserve">These fragments were found in Context 46 </w:t>
      </w:r>
      <w:r w:rsidR="005619C2" w:rsidRPr="000C6D64">
        <w:rPr>
          <w:rFonts w:ascii="Times New Roman" w:eastAsia="Gulim" w:hAnsi="Times New Roman" w:cs="Times New Roman"/>
          <w:sz w:val="24"/>
          <w:szCs w:val="24"/>
        </w:rPr>
        <w:t>of Unit 6. The other items found in JBH 46 consisted of a wire nail (1877-present), glass shards, fragments of a measuring cup, plastic beads, a piece of brown rubber, whiteware (1830s-present), creamware shards (1762-1820), brick fragments, shell pieces, and a plastic soda bottle cap gasket</w:t>
      </w:r>
      <w:r w:rsidR="00D917FB" w:rsidRPr="000C6D64">
        <w:rPr>
          <w:rStyle w:val="FootnoteReference"/>
          <w:rFonts w:ascii="Times New Roman" w:eastAsia="Gulim" w:hAnsi="Times New Roman" w:cs="Times New Roman"/>
          <w:sz w:val="24"/>
          <w:szCs w:val="24"/>
        </w:rPr>
        <w:footnoteReference w:id="10"/>
      </w:r>
      <w:r w:rsidR="005619C2" w:rsidRPr="000C6D64">
        <w:rPr>
          <w:rFonts w:ascii="Times New Roman" w:eastAsia="Gulim" w:hAnsi="Times New Roman" w:cs="Times New Roman"/>
          <w:sz w:val="24"/>
          <w:szCs w:val="24"/>
        </w:rPr>
        <w:t xml:space="preserve">. </w:t>
      </w:r>
    </w:p>
    <w:p w:rsidR="00537832" w:rsidRPr="000C6D64" w:rsidRDefault="00537832" w:rsidP="000C6D64">
      <w:pPr>
        <w:spacing w:line="480" w:lineRule="auto"/>
        <w:contextualSpacing/>
        <w:rPr>
          <w:rFonts w:ascii="Times New Roman" w:eastAsia="Gulim" w:hAnsi="Times New Roman" w:cs="Times New Roman"/>
          <w:sz w:val="24"/>
          <w:szCs w:val="24"/>
        </w:rPr>
      </w:pPr>
      <w:r w:rsidRPr="000C6D64">
        <w:rPr>
          <w:rFonts w:ascii="Times New Roman" w:eastAsia="Gulim" w:hAnsi="Times New Roman" w:cs="Times New Roman"/>
          <w:sz w:val="24"/>
          <w:szCs w:val="24"/>
        </w:rPr>
        <w:t xml:space="preserve">Like the Canton porcelain shard, it’s hard to find an explanation for how this object was deposited when it is found underneath objects that are significantly older. </w:t>
      </w:r>
      <w:r w:rsidR="009C2ADB" w:rsidRPr="000C6D64">
        <w:rPr>
          <w:rFonts w:ascii="Times New Roman" w:eastAsia="Gulim" w:hAnsi="Times New Roman" w:cs="Times New Roman"/>
          <w:sz w:val="24"/>
          <w:szCs w:val="24"/>
        </w:rPr>
        <w:t xml:space="preserve">Attributing its deposit to another “dumping ground” scenario would account for the wide range of dates that the objects in the context possessed. </w:t>
      </w:r>
    </w:p>
    <w:p w:rsidR="00673E96" w:rsidRPr="000C6D64" w:rsidRDefault="00673E96" w:rsidP="000C6D64">
      <w:pPr>
        <w:keepNext/>
        <w:spacing w:line="480" w:lineRule="auto"/>
        <w:contextualSpacing/>
        <w:rPr>
          <w:rFonts w:ascii="Times New Roman" w:hAnsi="Times New Roman" w:cs="Times New Roman"/>
          <w:sz w:val="24"/>
          <w:szCs w:val="24"/>
        </w:rPr>
      </w:pPr>
      <w:r w:rsidRPr="000C6D64">
        <w:rPr>
          <w:rFonts w:ascii="Times New Roman" w:hAnsi="Times New Roman" w:cs="Times New Roman"/>
          <w:noProof/>
          <w:sz w:val="24"/>
          <w:szCs w:val="24"/>
        </w:rPr>
        <w:drawing>
          <wp:inline distT="0" distB="0" distL="0" distR="0">
            <wp:extent cx="1477645" cy="1903095"/>
            <wp:effectExtent l="1905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477645" cy="1903095"/>
                    </a:xfrm>
                    <a:prstGeom prst="rect">
                      <a:avLst/>
                    </a:prstGeom>
                    <a:noFill/>
                    <a:ln w="9525">
                      <a:noFill/>
                      <a:miter lim="800000"/>
                      <a:headEnd/>
                      <a:tailEnd/>
                    </a:ln>
                  </pic:spPr>
                </pic:pic>
              </a:graphicData>
            </a:graphic>
          </wp:inline>
        </w:drawing>
      </w:r>
      <w:r w:rsidRPr="000C6D64">
        <w:rPr>
          <w:rFonts w:ascii="Times New Roman" w:hAnsi="Times New Roman" w:cs="Times New Roman"/>
          <w:sz w:val="24"/>
          <w:szCs w:val="24"/>
        </w:rPr>
        <w:t xml:space="preserve"> </w:t>
      </w:r>
      <w:r w:rsidR="005619C2" w:rsidRPr="000C6D64">
        <w:rPr>
          <w:rFonts w:ascii="Times New Roman" w:hAnsi="Times New Roman" w:cs="Times New Roman"/>
          <w:noProof/>
          <w:sz w:val="24"/>
          <w:szCs w:val="24"/>
        </w:rPr>
        <w:drawing>
          <wp:inline distT="0" distB="0" distL="0" distR="0">
            <wp:extent cx="1477645" cy="1903095"/>
            <wp:effectExtent l="19050" t="0" r="825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77645" cy="1903095"/>
                    </a:xfrm>
                    <a:prstGeom prst="rect">
                      <a:avLst/>
                    </a:prstGeom>
                    <a:noFill/>
                    <a:ln w="9525">
                      <a:noFill/>
                      <a:miter lim="800000"/>
                      <a:headEnd/>
                      <a:tailEnd/>
                    </a:ln>
                  </pic:spPr>
                </pic:pic>
              </a:graphicData>
            </a:graphic>
          </wp:inline>
        </w:drawing>
      </w:r>
      <w:r w:rsidR="005619C2" w:rsidRPr="000C6D64">
        <w:rPr>
          <w:rFonts w:ascii="Times New Roman" w:eastAsia="Gulim" w:hAnsi="Times New Roman" w:cs="Times New Roman"/>
          <w:noProof/>
          <w:sz w:val="24"/>
          <w:szCs w:val="24"/>
        </w:rPr>
        <w:drawing>
          <wp:inline distT="0" distB="0" distL="0" distR="0">
            <wp:extent cx="1477645" cy="1903095"/>
            <wp:effectExtent l="19050" t="0" r="825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477645" cy="1903095"/>
                    </a:xfrm>
                    <a:prstGeom prst="rect">
                      <a:avLst/>
                    </a:prstGeom>
                    <a:noFill/>
                    <a:ln w="9525">
                      <a:noFill/>
                      <a:miter lim="800000"/>
                      <a:headEnd/>
                      <a:tailEnd/>
                    </a:ln>
                  </pic:spPr>
                </pic:pic>
              </a:graphicData>
            </a:graphic>
          </wp:inline>
        </w:drawing>
      </w:r>
    </w:p>
    <w:p w:rsidR="00673E96" w:rsidRPr="000C6D64" w:rsidRDefault="00673E96" w:rsidP="000C6D64">
      <w:pPr>
        <w:pStyle w:val="Caption"/>
        <w:spacing w:before="100" w:after="100" w:line="480" w:lineRule="auto"/>
        <w:contextualSpacing/>
        <w:rPr>
          <w:rFonts w:ascii="Times New Roman" w:hAnsi="Times New Roman" w:cs="Times New Roman"/>
          <w:sz w:val="24"/>
          <w:szCs w:val="24"/>
        </w:rPr>
      </w:pPr>
      <w:r w:rsidRPr="000C6D64">
        <w:rPr>
          <w:rFonts w:ascii="Times New Roman" w:hAnsi="Times New Roman" w:cs="Times New Roman"/>
          <w:sz w:val="24"/>
          <w:szCs w:val="24"/>
        </w:rPr>
        <w:t xml:space="preserve">Figure </w:t>
      </w:r>
      <w:r w:rsidR="00B869FB" w:rsidRPr="000C6D64">
        <w:rPr>
          <w:rFonts w:ascii="Times New Roman" w:hAnsi="Times New Roman" w:cs="Times New Roman"/>
          <w:sz w:val="24"/>
          <w:szCs w:val="24"/>
        </w:rPr>
        <w:fldChar w:fldCharType="begin"/>
      </w:r>
      <w:r w:rsidR="00165439" w:rsidRPr="000C6D64">
        <w:rPr>
          <w:rFonts w:ascii="Times New Roman" w:hAnsi="Times New Roman" w:cs="Times New Roman"/>
          <w:sz w:val="24"/>
          <w:szCs w:val="24"/>
        </w:rPr>
        <w:instrText xml:space="preserve"> SEQ Figure \* ARABIC </w:instrText>
      </w:r>
      <w:r w:rsidR="00B869FB" w:rsidRPr="000C6D64">
        <w:rPr>
          <w:rFonts w:ascii="Times New Roman" w:hAnsi="Times New Roman" w:cs="Times New Roman"/>
          <w:sz w:val="24"/>
          <w:szCs w:val="24"/>
        </w:rPr>
        <w:fldChar w:fldCharType="separate"/>
      </w:r>
      <w:r w:rsidRPr="000C6D64">
        <w:rPr>
          <w:rFonts w:ascii="Times New Roman" w:hAnsi="Times New Roman" w:cs="Times New Roman"/>
          <w:noProof/>
          <w:sz w:val="24"/>
          <w:szCs w:val="24"/>
        </w:rPr>
        <w:t>1</w:t>
      </w:r>
      <w:r w:rsidR="00B869FB" w:rsidRPr="000C6D64">
        <w:rPr>
          <w:rFonts w:ascii="Times New Roman" w:hAnsi="Times New Roman" w:cs="Times New Roman"/>
          <w:sz w:val="24"/>
          <w:szCs w:val="24"/>
        </w:rPr>
        <w:fldChar w:fldCharType="end"/>
      </w:r>
      <w:r w:rsidRPr="000C6D64">
        <w:rPr>
          <w:rFonts w:ascii="Times New Roman" w:hAnsi="Times New Roman" w:cs="Times New Roman"/>
          <w:sz w:val="24"/>
          <w:szCs w:val="24"/>
        </w:rPr>
        <w:t>: US Patent No. 5613619. Issued March 25, 1997.</w:t>
      </w:r>
    </w:p>
    <w:p w:rsidR="00673E96" w:rsidRPr="000C6D64" w:rsidRDefault="00673E96" w:rsidP="000C6D64">
      <w:pPr>
        <w:pStyle w:val="Caption"/>
        <w:spacing w:before="100" w:after="100" w:line="480" w:lineRule="auto"/>
        <w:contextualSpacing/>
        <w:rPr>
          <w:rFonts w:ascii="Times New Roman" w:hAnsi="Times New Roman" w:cs="Times New Roman"/>
          <w:sz w:val="24"/>
          <w:szCs w:val="24"/>
        </w:rPr>
      </w:pPr>
      <w:r w:rsidRPr="000C6D64">
        <w:rPr>
          <w:rFonts w:ascii="Times New Roman" w:hAnsi="Times New Roman" w:cs="Times New Roman"/>
          <w:sz w:val="24"/>
          <w:szCs w:val="24"/>
        </w:rPr>
        <w:t xml:space="preserve">Figure </w:t>
      </w:r>
      <w:r w:rsidR="00B869FB" w:rsidRPr="000C6D64">
        <w:rPr>
          <w:rFonts w:ascii="Times New Roman" w:hAnsi="Times New Roman" w:cs="Times New Roman"/>
          <w:sz w:val="24"/>
          <w:szCs w:val="24"/>
        </w:rPr>
        <w:fldChar w:fldCharType="begin"/>
      </w:r>
      <w:r w:rsidR="00165439" w:rsidRPr="000C6D64">
        <w:rPr>
          <w:rFonts w:ascii="Times New Roman" w:hAnsi="Times New Roman" w:cs="Times New Roman"/>
          <w:sz w:val="24"/>
          <w:szCs w:val="24"/>
        </w:rPr>
        <w:instrText xml:space="preserve"> SEQ Figure \* ARABIC </w:instrText>
      </w:r>
      <w:r w:rsidR="00B869FB" w:rsidRPr="000C6D64">
        <w:rPr>
          <w:rFonts w:ascii="Times New Roman" w:hAnsi="Times New Roman" w:cs="Times New Roman"/>
          <w:sz w:val="24"/>
          <w:szCs w:val="24"/>
        </w:rPr>
        <w:fldChar w:fldCharType="separate"/>
      </w:r>
      <w:r w:rsidRPr="000C6D64">
        <w:rPr>
          <w:rFonts w:ascii="Times New Roman" w:hAnsi="Times New Roman" w:cs="Times New Roman"/>
          <w:noProof/>
          <w:sz w:val="24"/>
          <w:szCs w:val="24"/>
        </w:rPr>
        <w:t>2</w:t>
      </w:r>
      <w:r w:rsidR="00B869FB" w:rsidRPr="000C6D64">
        <w:rPr>
          <w:rFonts w:ascii="Times New Roman" w:hAnsi="Times New Roman" w:cs="Times New Roman"/>
          <w:sz w:val="24"/>
          <w:szCs w:val="24"/>
        </w:rPr>
        <w:fldChar w:fldCharType="end"/>
      </w:r>
      <w:r w:rsidRPr="000C6D64">
        <w:rPr>
          <w:rFonts w:ascii="Times New Roman" w:hAnsi="Times New Roman" w:cs="Times New Roman"/>
          <w:sz w:val="24"/>
          <w:szCs w:val="24"/>
        </w:rPr>
        <w:t>: US Patent No. 4428498. Issued January 31, 1984</w:t>
      </w:r>
    </w:p>
    <w:p w:rsidR="00673E96" w:rsidRPr="000C6D64" w:rsidRDefault="00673E96" w:rsidP="000C6D64">
      <w:pPr>
        <w:pStyle w:val="Caption"/>
        <w:spacing w:before="100" w:after="100" w:line="480" w:lineRule="auto"/>
        <w:contextualSpacing/>
        <w:rPr>
          <w:rFonts w:ascii="Times New Roman" w:eastAsia="Gulim" w:hAnsi="Times New Roman" w:cs="Times New Roman"/>
          <w:sz w:val="24"/>
          <w:szCs w:val="24"/>
        </w:rPr>
      </w:pPr>
      <w:r w:rsidRPr="000C6D64">
        <w:rPr>
          <w:rFonts w:ascii="Times New Roman" w:hAnsi="Times New Roman" w:cs="Times New Roman"/>
          <w:sz w:val="24"/>
          <w:szCs w:val="24"/>
        </w:rPr>
        <w:t xml:space="preserve">Figure </w:t>
      </w:r>
      <w:r w:rsidR="00B869FB" w:rsidRPr="000C6D64">
        <w:rPr>
          <w:rFonts w:ascii="Times New Roman" w:hAnsi="Times New Roman" w:cs="Times New Roman"/>
          <w:sz w:val="24"/>
          <w:szCs w:val="24"/>
        </w:rPr>
        <w:fldChar w:fldCharType="begin"/>
      </w:r>
      <w:r w:rsidR="00165439" w:rsidRPr="000C6D64">
        <w:rPr>
          <w:rFonts w:ascii="Times New Roman" w:hAnsi="Times New Roman" w:cs="Times New Roman"/>
          <w:sz w:val="24"/>
          <w:szCs w:val="24"/>
        </w:rPr>
        <w:instrText xml:space="preserve"> SEQ Figure \* ARABIC </w:instrText>
      </w:r>
      <w:r w:rsidR="00B869FB" w:rsidRPr="000C6D64">
        <w:rPr>
          <w:rFonts w:ascii="Times New Roman" w:hAnsi="Times New Roman" w:cs="Times New Roman"/>
          <w:sz w:val="24"/>
          <w:szCs w:val="24"/>
        </w:rPr>
        <w:fldChar w:fldCharType="separate"/>
      </w:r>
      <w:r w:rsidRPr="000C6D64">
        <w:rPr>
          <w:rFonts w:ascii="Times New Roman" w:hAnsi="Times New Roman" w:cs="Times New Roman"/>
          <w:noProof/>
          <w:sz w:val="24"/>
          <w:szCs w:val="24"/>
        </w:rPr>
        <w:t>3</w:t>
      </w:r>
      <w:r w:rsidR="00B869FB" w:rsidRPr="000C6D64">
        <w:rPr>
          <w:rFonts w:ascii="Times New Roman" w:hAnsi="Times New Roman" w:cs="Times New Roman"/>
          <w:sz w:val="24"/>
          <w:szCs w:val="24"/>
        </w:rPr>
        <w:fldChar w:fldCharType="end"/>
      </w:r>
      <w:r w:rsidRPr="000C6D64">
        <w:rPr>
          <w:rFonts w:ascii="Times New Roman" w:hAnsi="Times New Roman" w:cs="Times New Roman"/>
          <w:sz w:val="24"/>
          <w:szCs w:val="24"/>
        </w:rPr>
        <w:t>: Coffee Cup Lid US Patent No. 7246716. Issued July 24, 2007.</w:t>
      </w:r>
    </w:p>
    <w:p w:rsidR="00995A5B" w:rsidRPr="000C6D64" w:rsidRDefault="00995A5B" w:rsidP="000C6D64">
      <w:pPr>
        <w:spacing w:line="480" w:lineRule="auto"/>
        <w:ind w:firstLine="0"/>
        <w:contextualSpacing/>
        <w:rPr>
          <w:rFonts w:ascii="Times New Roman" w:eastAsia="Gulim" w:hAnsi="Times New Roman" w:cs="Times New Roman"/>
          <w:sz w:val="24"/>
          <w:szCs w:val="24"/>
        </w:rPr>
      </w:pPr>
      <w:r w:rsidRPr="000C6D64">
        <w:rPr>
          <w:rFonts w:ascii="Times New Roman" w:eastAsia="Gulim" w:hAnsi="Times New Roman" w:cs="Times New Roman"/>
          <w:noProof/>
          <w:sz w:val="24"/>
          <w:szCs w:val="24"/>
        </w:rPr>
        <w:lastRenderedPageBreak/>
        <w:drawing>
          <wp:inline distT="0" distB="0" distL="0" distR="0">
            <wp:extent cx="2766680" cy="2075497"/>
            <wp:effectExtent l="19050" t="0" r="0" b="0"/>
            <wp:docPr id="10" name="Picture 10" descr="C:\Users\alyssa\Downloads\dumbness4theend\CIMG4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lyssa\Downloads\dumbness4theend\CIMG4942.JPG"/>
                    <pic:cNvPicPr>
                      <a:picLocks noChangeAspect="1" noChangeArrowheads="1"/>
                    </pic:cNvPicPr>
                  </pic:nvPicPr>
                  <pic:blipFill>
                    <a:blip r:embed="rId14" cstate="print"/>
                    <a:srcRect/>
                    <a:stretch>
                      <a:fillRect/>
                    </a:stretch>
                  </pic:blipFill>
                  <pic:spPr bwMode="auto">
                    <a:xfrm>
                      <a:off x="0" y="0"/>
                      <a:ext cx="2771307" cy="2078968"/>
                    </a:xfrm>
                    <a:prstGeom prst="rect">
                      <a:avLst/>
                    </a:prstGeom>
                    <a:noFill/>
                    <a:ln w="9525">
                      <a:noFill/>
                      <a:miter lim="800000"/>
                      <a:headEnd/>
                      <a:tailEnd/>
                    </a:ln>
                  </pic:spPr>
                </pic:pic>
              </a:graphicData>
            </a:graphic>
          </wp:inline>
        </w:drawing>
      </w:r>
      <w:r w:rsidRPr="000C6D64">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r w:rsidRPr="000C6D64">
        <w:rPr>
          <w:rFonts w:ascii="Times New Roman" w:eastAsia="Gulim" w:hAnsi="Times New Roman" w:cs="Times New Roman"/>
          <w:noProof/>
          <w:sz w:val="24"/>
          <w:szCs w:val="24"/>
        </w:rPr>
        <w:drawing>
          <wp:inline distT="0" distB="0" distL="0" distR="0">
            <wp:extent cx="2914811" cy="2186620"/>
            <wp:effectExtent l="19050" t="0" r="0" b="0"/>
            <wp:docPr id="11" name="Picture 11" descr="C:\Users\alyssa\Downloads\dumbness4theend\CIMG4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yssa\Downloads\dumbness4theend\CIMG4943.JPG"/>
                    <pic:cNvPicPr>
                      <a:picLocks noChangeAspect="1" noChangeArrowheads="1"/>
                    </pic:cNvPicPr>
                  </pic:nvPicPr>
                  <pic:blipFill>
                    <a:blip r:embed="rId15" cstate="print"/>
                    <a:srcRect/>
                    <a:stretch>
                      <a:fillRect/>
                    </a:stretch>
                  </pic:blipFill>
                  <pic:spPr bwMode="auto">
                    <a:xfrm>
                      <a:off x="0" y="0"/>
                      <a:ext cx="2921060" cy="2191308"/>
                    </a:xfrm>
                    <a:prstGeom prst="rect">
                      <a:avLst/>
                    </a:prstGeom>
                    <a:noFill/>
                    <a:ln w="9525">
                      <a:noFill/>
                      <a:miter lim="800000"/>
                      <a:headEnd/>
                      <a:tailEnd/>
                    </a:ln>
                  </pic:spPr>
                </pic:pic>
              </a:graphicData>
            </a:graphic>
          </wp:inline>
        </w:drawing>
      </w:r>
    </w:p>
    <w:p w:rsidR="00995A5B" w:rsidRPr="000C6D64" w:rsidRDefault="002B496B" w:rsidP="000C6D64">
      <w:pPr>
        <w:spacing w:line="480" w:lineRule="auto"/>
        <w:contextualSpacing/>
        <w:rPr>
          <w:rFonts w:ascii="Times New Roman" w:eastAsia="Gulim" w:hAnsi="Times New Roman" w:cs="Times New Roman"/>
          <w:sz w:val="24"/>
          <w:szCs w:val="24"/>
        </w:rPr>
      </w:pPr>
      <w:r w:rsidRPr="000C6D64">
        <w:rPr>
          <w:rFonts w:ascii="Times New Roman" w:eastAsia="Gulim" w:hAnsi="Times New Roman" w:cs="Times New Roman"/>
          <w:sz w:val="24"/>
          <w:szCs w:val="24"/>
        </w:rPr>
        <w:t xml:space="preserve">This third object was found in Context JBH 61 of Unit 6. </w:t>
      </w:r>
      <w:r w:rsidR="00995A5B" w:rsidRPr="000C6D64">
        <w:rPr>
          <w:rFonts w:ascii="Times New Roman" w:eastAsia="Gulim" w:hAnsi="Times New Roman" w:cs="Times New Roman"/>
          <w:sz w:val="24"/>
          <w:szCs w:val="24"/>
        </w:rPr>
        <w:t>It is a piece of heavily rusted iron that measures 11 ¾ cm across, 4 ¾ cm long</w:t>
      </w:r>
      <w:r w:rsidR="00B806B9" w:rsidRPr="000C6D64">
        <w:rPr>
          <w:rFonts w:ascii="Times New Roman" w:eastAsia="Gulim" w:hAnsi="Times New Roman" w:cs="Times New Roman"/>
          <w:sz w:val="24"/>
          <w:szCs w:val="24"/>
        </w:rPr>
        <w:t>, and 4.5mm thick. Because</w:t>
      </w:r>
      <w:r w:rsidR="00995A5B" w:rsidRPr="000C6D64">
        <w:rPr>
          <w:rFonts w:ascii="Times New Roman" w:eastAsia="Gulim" w:hAnsi="Times New Roman" w:cs="Times New Roman"/>
          <w:sz w:val="24"/>
          <w:szCs w:val="24"/>
        </w:rPr>
        <w:t xml:space="preserve"> it has neatly perforated holes, smooth edges and a hefty weight, this iron object was probably used for architectural purposes. Because of the sharp 90 degree angle and carefully place holes, it also seems that this object was used as an angle iron or something to anchor some sort of larger feature</w:t>
      </w:r>
      <w:r w:rsidR="00D917FB" w:rsidRPr="000C6D64">
        <w:rPr>
          <w:rStyle w:val="FootnoteReference"/>
          <w:rFonts w:ascii="Times New Roman" w:eastAsia="Gulim" w:hAnsi="Times New Roman" w:cs="Times New Roman"/>
          <w:sz w:val="24"/>
          <w:szCs w:val="24"/>
        </w:rPr>
        <w:footnoteReference w:id="11"/>
      </w:r>
      <w:r w:rsidR="00995A5B" w:rsidRPr="000C6D64">
        <w:rPr>
          <w:rFonts w:ascii="Times New Roman" w:eastAsia="Gulim" w:hAnsi="Times New Roman" w:cs="Times New Roman"/>
          <w:sz w:val="24"/>
          <w:szCs w:val="24"/>
        </w:rPr>
        <w:t xml:space="preserve">. </w:t>
      </w:r>
    </w:p>
    <w:p w:rsidR="002B496B" w:rsidRPr="000C6D64" w:rsidRDefault="002B496B" w:rsidP="000C6D64">
      <w:pPr>
        <w:spacing w:line="480" w:lineRule="auto"/>
        <w:contextualSpacing/>
        <w:rPr>
          <w:rFonts w:ascii="Times New Roman" w:eastAsia="Gulim" w:hAnsi="Times New Roman" w:cs="Times New Roman"/>
          <w:sz w:val="24"/>
          <w:szCs w:val="24"/>
        </w:rPr>
      </w:pPr>
      <w:r w:rsidRPr="000C6D64">
        <w:rPr>
          <w:rFonts w:ascii="Times New Roman" w:eastAsia="Gulim" w:hAnsi="Times New Roman" w:cs="Times New Roman"/>
          <w:sz w:val="24"/>
          <w:szCs w:val="24"/>
        </w:rPr>
        <w:t>Although there were some inconsistencies (plastic report cover sliding bar), the other finds in the unit were consistent with objects that would have been utilized in domestic architecture: mortar, bricks, red tiles, other flat iron pieces, cut nails, and a slab of marble.</w:t>
      </w:r>
      <w:r w:rsidR="00995A5B" w:rsidRPr="000C6D64">
        <w:rPr>
          <w:rFonts w:ascii="Times New Roman" w:eastAsia="Gulim" w:hAnsi="Times New Roman" w:cs="Times New Roman"/>
          <w:sz w:val="24"/>
          <w:szCs w:val="24"/>
        </w:rPr>
        <w:t xml:space="preserve"> After being able to safely believe that this </w:t>
      </w:r>
      <w:r w:rsidR="0023117C" w:rsidRPr="000C6D64">
        <w:rPr>
          <w:rFonts w:ascii="Times New Roman" w:eastAsia="Gulim" w:hAnsi="Times New Roman" w:cs="Times New Roman"/>
          <w:sz w:val="24"/>
          <w:szCs w:val="24"/>
        </w:rPr>
        <w:t>was an architectural object, the next task was to find a date for the object.</w:t>
      </w:r>
    </w:p>
    <w:p w:rsidR="0023117C" w:rsidRPr="000C6D64" w:rsidRDefault="0023117C" w:rsidP="000C6D64">
      <w:pPr>
        <w:spacing w:line="480" w:lineRule="auto"/>
        <w:contextualSpacing/>
        <w:rPr>
          <w:rFonts w:ascii="Times New Roman" w:eastAsia="Gulim" w:hAnsi="Times New Roman" w:cs="Times New Roman"/>
          <w:sz w:val="24"/>
          <w:szCs w:val="24"/>
        </w:rPr>
      </w:pPr>
      <w:r w:rsidRPr="000C6D64">
        <w:rPr>
          <w:rFonts w:ascii="Times New Roman" w:eastAsia="Gulim" w:hAnsi="Times New Roman" w:cs="Times New Roman"/>
          <w:sz w:val="24"/>
          <w:szCs w:val="24"/>
        </w:rPr>
        <w:t xml:space="preserve">This task proved to be extremely difficult. The thick layer of rust covered the entire surface, and if there were any identifying features on the object such as a maker’s mark, it is impossible to see underneath the rust. Modern angle irons are fairly thin, so </w:t>
      </w:r>
      <w:r w:rsidR="004B4E5C" w:rsidRPr="000C6D64">
        <w:rPr>
          <w:rFonts w:ascii="Times New Roman" w:eastAsia="Gulim" w:hAnsi="Times New Roman" w:cs="Times New Roman"/>
          <w:sz w:val="24"/>
          <w:szCs w:val="24"/>
        </w:rPr>
        <w:t xml:space="preserve">that was my first indication that this particular angle iron is relatively old. </w:t>
      </w:r>
    </w:p>
    <w:p w:rsidR="000700A8" w:rsidRPr="000C6D64" w:rsidRDefault="004B4E5C" w:rsidP="000C6D64">
      <w:pPr>
        <w:spacing w:line="480" w:lineRule="auto"/>
        <w:contextualSpacing/>
        <w:rPr>
          <w:rFonts w:ascii="Times New Roman" w:eastAsia="Gulim" w:hAnsi="Times New Roman" w:cs="Times New Roman"/>
          <w:sz w:val="24"/>
          <w:szCs w:val="24"/>
        </w:rPr>
      </w:pPr>
      <w:r w:rsidRPr="000C6D64">
        <w:rPr>
          <w:rFonts w:ascii="Times New Roman" w:eastAsia="Gulim" w:hAnsi="Times New Roman" w:cs="Times New Roman"/>
          <w:sz w:val="24"/>
          <w:szCs w:val="24"/>
        </w:rPr>
        <w:lastRenderedPageBreak/>
        <w:t xml:space="preserve">Since the main thing to notice about this object is the rust, I decided to use that to help me date the object. Rust is a form of corrosion that affects metals like iron and steel when they are exposed to air and moisture. Since rusting can happen fairly quickly (a matter of days), I wasn’t able to say that the object was x amount of years old because y amount of rust was present. But, I was able to take the very presence of the rust as something to date. </w:t>
      </w:r>
    </w:p>
    <w:p w:rsidR="00B806B9" w:rsidRPr="000C6D64" w:rsidRDefault="004B4E5C" w:rsidP="000C6D64">
      <w:pPr>
        <w:spacing w:line="480" w:lineRule="auto"/>
        <w:contextualSpacing/>
        <w:rPr>
          <w:rFonts w:ascii="Times New Roman" w:eastAsia="Gulim" w:hAnsi="Times New Roman" w:cs="Times New Roman"/>
          <w:sz w:val="24"/>
          <w:szCs w:val="24"/>
        </w:rPr>
      </w:pPr>
      <w:r w:rsidRPr="000C6D64">
        <w:rPr>
          <w:rFonts w:ascii="Times New Roman" w:eastAsia="Gulim" w:hAnsi="Times New Roman" w:cs="Times New Roman"/>
          <w:sz w:val="24"/>
          <w:szCs w:val="24"/>
        </w:rPr>
        <w:t xml:space="preserve">Today, metal objects—specifically irons and steels—are treated in order to prevent them from rusting, especially if they are going to be used for something like supporting an architectural structure. Galvanization is a method that protects iron from rusting by completely coating the surface with a hot layer of zinc. </w:t>
      </w:r>
      <w:r w:rsidR="00B806B9" w:rsidRPr="000C6D64">
        <w:rPr>
          <w:rFonts w:ascii="Times New Roman" w:eastAsia="Gulim" w:hAnsi="Times New Roman" w:cs="Times New Roman"/>
          <w:sz w:val="24"/>
          <w:szCs w:val="24"/>
        </w:rPr>
        <w:t>Galvanization was introduced in the 1830s, and was officially patented by Stanislaus Sorel, a Parisian civil engineer, on May 10, 1837</w:t>
      </w:r>
      <w:r w:rsidR="00B806B9" w:rsidRPr="000C6D64">
        <w:rPr>
          <w:rStyle w:val="FootnoteReference"/>
          <w:rFonts w:ascii="Times New Roman" w:eastAsia="Gulim" w:hAnsi="Times New Roman" w:cs="Times New Roman"/>
          <w:sz w:val="24"/>
          <w:szCs w:val="24"/>
        </w:rPr>
        <w:footnoteReference w:id="12"/>
      </w:r>
      <w:r w:rsidR="00B806B9" w:rsidRPr="000C6D64">
        <w:rPr>
          <w:rFonts w:ascii="Times New Roman" w:eastAsia="Gulim" w:hAnsi="Times New Roman" w:cs="Times New Roman"/>
          <w:sz w:val="24"/>
          <w:szCs w:val="24"/>
        </w:rPr>
        <w:t xml:space="preserve">. It wasn’t until after that date that public and domestic architecture began to take advantage of the anti-rusting properties of galvanization. </w:t>
      </w:r>
    </w:p>
    <w:p w:rsidR="004B4E5C" w:rsidRPr="000C6D64" w:rsidRDefault="004B4E5C" w:rsidP="000C6D64">
      <w:pPr>
        <w:spacing w:line="480" w:lineRule="auto"/>
        <w:contextualSpacing/>
        <w:rPr>
          <w:rFonts w:ascii="Times New Roman" w:eastAsia="Gulim" w:hAnsi="Times New Roman" w:cs="Times New Roman"/>
          <w:sz w:val="24"/>
          <w:szCs w:val="24"/>
        </w:rPr>
      </w:pPr>
      <w:r w:rsidRPr="000C6D64">
        <w:rPr>
          <w:rFonts w:ascii="Times New Roman" w:eastAsia="Gulim" w:hAnsi="Times New Roman" w:cs="Times New Roman"/>
          <w:sz w:val="24"/>
          <w:szCs w:val="24"/>
        </w:rPr>
        <w:t xml:space="preserve">The anti-rust protection offered by this method can last </w:t>
      </w:r>
      <w:r w:rsidR="00B806B9" w:rsidRPr="000C6D64">
        <w:rPr>
          <w:rFonts w:ascii="Times New Roman" w:eastAsia="Gulim" w:hAnsi="Times New Roman" w:cs="Times New Roman"/>
          <w:sz w:val="24"/>
          <w:szCs w:val="24"/>
        </w:rPr>
        <w:t>for decades. While rusting is inevitable, even on objects protected by galvanization, this is only in objects directly exposed to lots of water and sunlight. If this object was indeed an angle iron, it is most likely that it was used to anchor something to the ground</w:t>
      </w:r>
      <w:r w:rsidR="00FB4B1B" w:rsidRPr="000C6D64">
        <w:rPr>
          <w:rFonts w:ascii="Times New Roman" w:eastAsia="Gulim" w:hAnsi="Times New Roman" w:cs="Times New Roman"/>
          <w:sz w:val="24"/>
          <w:szCs w:val="24"/>
        </w:rPr>
        <w:t>. I</w:t>
      </w:r>
      <w:r w:rsidR="00B806B9" w:rsidRPr="000C6D64">
        <w:rPr>
          <w:rFonts w:ascii="Times New Roman" w:eastAsia="Gulim" w:hAnsi="Times New Roman" w:cs="Times New Roman"/>
          <w:sz w:val="24"/>
          <w:szCs w:val="24"/>
        </w:rPr>
        <w:t>t would have been positioned between the ground and whatever object it was holding to the ground. If that were the case, there wouldn’t have been whole sides of the object exposed to the natural elements</w:t>
      </w:r>
      <w:r w:rsidR="00FB4B1B" w:rsidRPr="000C6D64">
        <w:rPr>
          <w:rFonts w:ascii="Times New Roman" w:eastAsia="Gulim" w:hAnsi="Times New Roman" w:cs="Times New Roman"/>
          <w:sz w:val="24"/>
          <w:szCs w:val="24"/>
        </w:rPr>
        <w:t xml:space="preserve">. </w:t>
      </w:r>
    </w:p>
    <w:p w:rsidR="00FB4B1B" w:rsidRPr="000C6D64" w:rsidRDefault="00FB4B1B" w:rsidP="000C6D64">
      <w:pPr>
        <w:spacing w:line="480" w:lineRule="auto"/>
        <w:contextualSpacing/>
        <w:rPr>
          <w:rFonts w:ascii="Times New Roman" w:eastAsia="Gulim" w:hAnsi="Times New Roman" w:cs="Times New Roman"/>
          <w:sz w:val="24"/>
          <w:szCs w:val="24"/>
        </w:rPr>
      </w:pPr>
      <w:r w:rsidRPr="000C6D64">
        <w:rPr>
          <w:rFonts w:ascii="Times New Roman" w:eastAsia="Gulim" w:hAnsi="Times New Roman" w:cs="Times New Roman"/>
          <w:sz w:val="24"/>
          <w:szCs w:val="24"/>
        </w:rPr>
        <w:t xml:space="preserve">I think there are two plausible explanations for the appearance of rust on this angle iron. First, that the heavy amounts of rust covering every part of the object’s surface indicate that the object simply sat out in the open air exposed to oxygen or moisture. Or secondly, that the angle </w:t>
      </w:r>
      <w:r w:rsidRPr="000C6D64">
        <w:rPr>
          <w:rFonts w:ascii="Times New Roman" w:eastAsia="Gulim" w:hAnsi="Times New Roman" w:cs="Times New Roman"/>
          <w:sz w:val="24"/>
          <w:szCs w:val="24"/>
        </w:rPr>
        <w:lastRenderedPageBreak/>
        <w:t xml:space="preserve">iron was indeed partially hidden from the elements, but it had not been treated by galvanization. A lack of galvanization would account for the heavy amounts of rust and corrosion. </w:t>
      </w:r>
    </w:p>
    <w:p w:rsidR="00FB4B1B" w:rsidRPr="000C6D64" w:rsidRDefault="003C7C08" w:rsidP="000C6D64">
      <w:pPr>
        <w:spacing w:line="480" w:lineRule="auto"/>
        <w:contextualSpacing/>
        <w:rPr>
          <w:rFonts w:ascii="Times New Roman" w:eastAsia="Gulim" w:hAnsi="Times New Roman" w:cs="Times New Roman"/>
          <w:sz w:val="24"/>
          <w:szCs w:val="24"/>
        </w:rPr>
      </w:pPr>
      <w:r w:rsidRPr="000C6D64">
        <w:rPr>
          <w:rFonts w:ascii="Times New Roman" w:eastAsia="Gulim" w:hAnsi="Times New Roman" w:cs="Times New Roman"/>
          <w:sz w:val="24"/>
          <w:szCs w:val="24"/>
        </w:rPr>
        <w:t>In terms of use, i</w:t>
      </w:r>
      <w:r w:rsidR="00FB4B1B" w:rsidRPr="000C6D64">
        <w:rPr>
          <w:rFonts w:ascii="Times New Roman" w:eastAsia="Gulim" w:hAnsi="Times New Roman" w:cs="Times New Roman"/>
          <w:sz w:val="24"/>
          <w:szCs w:val="24"/>
        </w:rPr>
        <w:t xml:space="preserve">f the second explanation is taken to be true, then that would indicate that this object was dated before 1837. If the object is dated to pre-1837, that would mean that the angle iron came from a structure that had been constructed before that date. Knowing the history of the John Brown House landscape, the only architectural changes to the house before 1837 consisted of the construction of the various outhouses that existed in the yard of the property. So it’s possible that this angle iron was never galvanized and therefore used originally used in one of the outhouses constructed on the property before 1803. Another explanation </w:t>
      </w:r>
      <w:r w:rsidRPr="000C6D64">
        <w:rPr>
          <w:rFonts w:ascii="Times New Roman" w:eastAsia="Gulim" w:hAnsi="Times New Roman" w:cs="Times New Roman"/>
          <w:sz w:val="24"/>
          <w:szCs w:val="24"/>
        </w:rPr>
        <w:t xml:space="preserve">for when this object was used </w:t>
      </w:r>
      <w:r w:rsidR="00FB4B1B" w:rsidRPr="000C6D64">
        <w:rPr>
          <w:rFonts w:ascii="Times New Roman" w:eastAsia="Gulim" w:hAnsi="Times New Roman" w:cs="Times New Roman"/>
          <w:sz w:val="24"/>
          <w:szCs w:val="24"/>
        </w:rPr>
        <w:t xml:space="preserve">is that the angle iron was used in the construction of the Robert Hale Ives house around 1857 and he simply didn’t use metal objects that had been galvanized. </w:t>
      </w:r>
    </w:p>
    <w:p w:rsidR="003C7C08" w:rsidRPr="000C6D64" w:rsidRDefault="003C7C08" w:rsidP="000C6D64">
      <w:pPr>
        <w:spacing w:line="480" w:lineRule="auto"/>
        <w:contextualSpacing/>
        <w:rPr>
          <w:rFonts w:ascii="Times New Roman" w:eastAsia="Gulim" w:hAnsi="Times New Roman" w:cs="Times New Roman"/>
          <w:sz w:val="24"/>
          <w:szCs w:val="24"/>
        </w:rPr>
      </w:pPr>
      <w:r w:rsidRPr="000C6D64">
        <w:rPr>
          <w:rFonts w:ascii="Times New Roman" w:eastAsia="Gulim" w:hAnsi="Times New Roman" w:cs="Times New Roman"/>
          <w:sz w:val="24"/>
          <w:szCs w:val="24"/>
        </w:rPr>
        <w:t>In terms of deposition, if the object was used in one of John Brown’s outhouses, than it could have been deposited in the ground when the outhouses were destroyed around 1857 for the construction of the Hale Ives house. If the angle iron was used in the construction of the Hale Ives House, than it’s possible that the object was deposited between 1923 and 1925 when Marsden Perry razed the Hale Ives House.</w:t>
      </w:r>
    </w:p>
    <w:p w:rsidR="00FB4B1B" w:rsidRPr="002B496B" w:rsidRDefault="00FB4B1B" w:rsidP="000C6D64">
      <w:pPr>
        <w:spacing w:line="480" w:lineRule="auto"/>
        <w:contextualSpacing/>
        <w:rPr>
          <w:rFonts w:ascii="Gulim" w:eastAsia="Gulim" w:hAnsi="Gulim"/>
          <w:sz w:val="20"/>
        </w:rPr>
      </w:pPr>
      <w:r w:rsidRPr="000C6D64">
        <w:rPr>
          <w:rFonts w:ascii="Times New Roman" w:eastAsia="Gulim" w:hAnsi="Times New Roman" w:cs="Times New Roman"/>
          <w:sz w:val="24"/>
          <w:szCs w:val="24"/>
        </w:rPr>
        <w:t>The introduction of the concept of galvanization produces a variety of explanations as to the original use of this iron object and when it was deposited</w:t>
      </w:r>
      <w:r>
        <w:rPr>
          <w:rFonts w:ascii="Gulim" w:eastAsia="Gulim" w:hAnsi="Gulim"/>
          <w:sz w:val="20"/>
        </w:rPr>
        <w:t xml:space="preserve">. </w:t>
      </w:r>
    </w:p>
    <w:p w:rsidR="00FB4B1B" w:rsidRDefault="00FB4B1B">
      <w:pPr>
        <w:rPr>
          <w:rFonts w:ascii="Gulim" w:eastAsia="Gulim" w:hAnsi="Gulim"/>
          <w:sz w:val="20"/>
        </w:rPr>
      </w:pPr>
    </w:p>
    <w:p w:rsidR="00A3068F" w:rsidRDefault="00A3068F">
      <w:pPr>
        <w:rPr>
          <w:rFonts w:ascii="Gulim" w:eastAsia="Gulim" w:hAnsi="Gulim"/>
          <w:sz w:val="20"/>
        </w:rPr>
      </w:pPr>
    </w:p>
    <w:p w:rsidR="00A3068F" w:rsidRDefault="00A3068F">
      <w:pPr>
        <w:rPr>
          <w:rFonts w:ascii="Gulim" w:eastAsia="Gulim" w:hAnsi="Gulim"/>
          <w:sz w:val="20"/>
        </w:rPr>
      </w:pPr>
    </w:p>
    <w:p w:rsidR="00A3068F" w:rsidRDefault="00A3068F">
      <w:pPr>
        <w:rPr>
          <w:rFonts w:ascii="Gulim" w:eastAsia="Gulim" w:hAnsi="Gulim"/>
          <w:sz w:val="20"/>
        </w:rPr>
      </w:pPr>
    </w:p>
    <w:p w:rsidR="000C6D64" w:rsidRDefault="000C6D64" w:rsidP="00A3068F">
      <w:pPr>
        <w:ind w:left="360" w:firstLine="0"/>
        <w:jc w:val="center"/>
        <w:rPr>
          <w:rFonts w:ascii="Times New Roman" w:hAnsi="Times New Roman" w:cs="Times New Roman"/>
          <w:sz w:val="24"/>
          <w:szCs w:val="24"/>
        </w:rPr>
      </w:pPr>
    </w:p>
    <w:p w:rsidR="000C6D64" w:rsidRDefault="000C6D64" w:rsidP="00A3068F">
      <w:pPr>
        <w:ind w:left="360" w:firstLine="0"/>
        <w:jc w:val="center"/>
        <w:rPr>
          <w:rFonts w:ascii="Times New Roman" w:hAnsi="Times New Roman" w:cs="Times New Roman"/>
          <w:sz w:val="24"/>
          <w:szCs w:val="24"/>
        </w:rPr>
      </w:pPr>
    </w:p>
    <w:p w:rsidR="00A3068F" w:rsidRPr="00A3068F" w:rsidRDefault="00A3068F" w:rsidP="00A3068F">
      <w:pPr>
        <w:ind w:left="360" w:firstLine="0"/>
        <w:jc w:val="center"/>
        <w:rPr>
          <w:rFonts w:ascii="Times New Roman" w:hAnsi="Times New Roman" w:cs="Times New Roman"/>
          <w:sz w:val="24"/>
          <w:szCs w:val="24"/>
        </w:rPr>
      </w:pPr>
      <w:r w:rsidRPr="00A3068F">
        <w:rPr>
          <w:rFonts w:ascii="Times New Roman" w:hAnsi="Times New Roman" w:cs="Times New Roman"/>
          <w:sz w:val="24"/>
          <w:szCs w:val="24"/>
        </w:rPr>
        <w:lastRenderedPageBreak/>
        <w:t xml:space="preserve">Object Bio Bibliographies </w:t>
      </w:r>
    </w:p>
    <w:p w:rsidR="00A3068F" w:rsidRDefault="00A3068F" w:rsidP="00A3068F">
      <w:pPr>
        <w:spacing w:line="480" w:lineRule="auto"/>
        <w:ind w:firstLine="0"/>
        <w:contextualSpacing/>
        <w:rPr>
          <w:rFonts w:ascii="Times New Roman" w:hAnsi="Times New Roman" w:cs="Times New Roman"/>
          <w:sz w:val="24"/>
          <w:szCs w:val="24"/>
        </w:rPr>
      </w:pPr>
      <w:r w:rsidRPr="00A3068F">
        <w:rPr>
          <w:rFonts w:ascii="Times New Roman" w:hAnsi="Times New Roman" w:cs="Times New Roman"/>
          <w:sz w:val="24"/>
          <w:szCs w:val="24"/>
        </w:rPr>
        <w:t xml:space="preserve">Allen, Lorena Overstreet. “Chinese Canton Porcelain.” Antiques and Art Around Florida. 3 Dec </w:t>
      </w:r>
    </w:p>
    <w:p w:rsidR="00A3068F" w:rsidRPr="00A3068F" w:rsidRDefault="00A3068F" w:rsidP="00A3068F">
      <w:pPr>
        <w:spacing w:line="480" w:lineRule="auto"/>
        <w:contextualSpacing/>
        <w:rPr>
          <w:rFonts w:ascii="Times New Roman" w:hAnsi="Times New Roman" w:cs="Times New Roman"/>
          <w:sz w:val="24"/>
          <w:szCs w:val="24"/>
        </w:rPr>
      </w:pPr>
      <w:r w:rsidRPr="00A3068F">
        <w:rPr>
          <w:rFonts w:ascii="Times New Roman" w:hAnsi="Times New Roman" w:cs="Times New Roman"/>
          <w:sz w:val="24"/>
          <w:szCs w:val="24"/>
        </w:rPr>
        <w:t>2009.  http://aarf.com/fecant98.htm</w:t>
      </w:r>
    </w:p>
    <w:p w:rsidR="00A3068F" w:rsidRDefault="00A3068F" w:rsidP="00A3068F">
      <w:pPr>
        <w:spacing w:line="480" w:lineRule="auto"/>
        <w:ind w:firstLine="0"/>
        <w:contextualSpacing/>
        <w:rPr>
          <w:rFonts w:ascii="Times New Roman" w:hAnsi="Times New Roman" w:cs="Times New Roman"/>
          <w:sz w:val="24"/>
          <w:szCs w:val="24"/>
        </w:rPr>
      </w:pPr>
      <w:r w:rsidRPr="00A3068F">
        <w:rPr>
          <w:rFonts w:ascii="Times New Roman" w:hAnsi="Times New Roman" w:cs="Times New Roman"/>
          <w:sz w:val="24"/>
          <w:szCs w:val="24"/>
        </w:rPr>
        <w:t xml:space="preserve">"Canton Porcelain." </w:t>
      </w:r>
      <w:r w:rsidRPr="00A3068F">
        <w:rPr>
          <w:rFonts w:ascii="Times New Roman" w:hAnsi="Times New Roman" w:cs="Times New Roman"/>
          <w:i/>
          <w:iCs/>
          <w:sz w:val="24"/>
          <w:szCs w:val="24"/>
        </w:rPr>
        <w:t>FLMNH.ufl.edu</w:t>
      </w:r>
      <w:r w:rsidRPr="00A3068F">
        <w:rPr>
          <w:rFonts w:ascii="Times New Roman" w:hAnsi="Times New Roman" w:cs="Times New Roman"/>
          <w:sz w:val="24"/>
          <w:szCs w:val="24"/>
        </w:rPr>
        <w:t xml:space="preserve">. Florida Museum of Natural History, Web. 2 Dec 2009. </w:t>
      </w:r>
    </w:p>
    <w:p w:rsidR="00A3068F" w:rsidRDefault="00A3068F" w:rsidP="00A3068F">
      <w:pPr>
        <w:spacing w:line="480" w:lineRule="auto"/>
        <w:contextualSpacing/>
        <w:rPr>
          <w:rFonts w:ascii="Times New Roman" w:hAnsi="Times New Roman" w:cs="Times New Roman"/>
          <w:sz w:val="24"/>
          <w:szCs w:val="24"/>
        </w:rPr>
      </w:pPr>
      <w:r w:rsidRPr="00A3068F">
        <w:rPr>
          <w:rFonts w:ascii="Times New Roman" w:hAnsi="Times New Roman" w:cs="Times New Roman"/>
          <w:sz w:val="24"/>
          <w:szCs w:val="24"/>
        </w:rPr>
        <w:t>&lt;http://www.flmnh.ufl.edu/histarch/gallery_types/type_index_display.asp?type_name=P</w:t>
      </w:r>
    </w:p>
    <w:p w:rsidR="00A3068F" w:rsidRPr="00A3068F" w:rsidRDefault="00A3068F" w:rsidP="00A3068F">
      <w:pPr>
        <w:spacing w:line="480" w:lineRule="auto"/>
        <w:contextualSpacing/>
        <w:rPr>
          <w:rFonts w:ascii="Times New Roman" w:hAnsi="Times New Roman" w:cs="Times New Roman"/>
          <w:sz w:val="24"/>
          <w:szCs w:val="24"/>
        </w:rPr>
      </w:pPr>
      <w:r w:rsidRPr="00A3068F">
        <w:rPr>
          <w:rFonts w:ascii="Times New Roman" w:hAnsi="Times New Roman" w:cs="Times New Roman"/>
          <w:sz w:val="24"/>
          <w:szCs w:val="24"/>
        </w:rPr>
        <w:t>ORCELAIN,%20CANTON&gt;.</w:t>
      </w:r>
    </w:p>
    <w:p w:rsidR="00A3068F" w:rsidRDefault="00A3068F" w:rsidP="00A3068F">
      <w:pPr>
        <w:spacing w:line="480" w:lineRule="auto"/>
        <w:ind w:firstLine="0"/>
        <w:contextualSpacing/>
        <w:rPr>
          <w:rFonts w:ascii="Times New Roman" w:hAnsi="Times New Roman" w:cs="Times New Roman"/>
          <w:sz w:val="24"/>
          <w:szCs w:val="24"/>
        </w:rPr>
      </w:pPr>
      <w:r w:rsidRPr="00A3068F">
        <w:rPr>
          <w:rFonts w:ascii="Times New Roman" w:hAnsi="Times New Roman" w:cs="Times New Roman"/>
          <w:sz w:val="24"/>
          <w:szCs w:val="24"/>
        </w:rPr>
        <w:t xml:space="preserve">"History of Galvanization." </w:t>
      </w:r>
      <w:r w:rsidRPr="00A3068F">
        <w:rPr>
          <w:rFonts w:ascii="Times New Roman" w:hAnsi="Times New Roman" w:cs="Times New Roman"/>
          <w:i/>
          <w:iCs/>
          <w:sz w:val="24"/>
          <w:szCs w:val="24"/>
        </w:rPr>
        <w:t>gaa.com</w:t>
      </w:r>
      <w:r w:rsidRPr="00A3068F">
        <w:rPr>
          <w:rFonts w:ascii="Times New Roman" w:hAnsi="Times New Roman" w:cs="Times New Roman"/>
          <w:sz w:val="24"/>
          <w:szCs w:val="24"/>
        </w:rPr>
        <w:t xml:space="preserve">. Galvanizers Association of Australia, Web. 12 Dec 2009. </w:t>
      </w:r>
    </w:p>
    <w:p w:rsidR="00A3068F" w:rsidRPr="00A3068F" w:rsidRDefault="00A3068F" w:rsidP="00A3068F">
      <w:pPr>
        <w:spacing w:line="480" w:lineRule="auto"/>
        <w:contextualSpacing/>
        <w:rPr>
          <w:rFonts w:ascii="Times New Roman" w:hAnsi="Times New Roman" w:cs="Times New Roman"/>
          <w:sz w:val="24"/>
          <w:szCs w:val="24"/>
        </w:rPr>
      </w:pPr>
      <w:r w:rsidRPr="00A3068F">
        <w:rPr>
          <w:rFonts w:ascii="Times New Roman" w:hAnsi="Times New Roman" w:cs="Times New Roman"/>
          <w:sz w:val="24"/>
          <w:szCs w:val="24"/>
        </w:rPr>
        <w:t>&lt;http://www.gaa.com.au/benefits_of_galvanizing/benefits_h.html&gt;.</w:t>
      </w:r>
    </w:p>
    <w:p w:rsidR="00A3068F" w:rsidRDefault="00A3068F" w:rsidP="00A3068F">
      <w:pPr>
        <w:spacing w:line="480" w:lineRule="auto"/>
        <w:ind w:firstLine="0"/>
        <w:contextualSpacing/>
        <w:rPr>
          <w:rFonts w:ascii="Times New Roman" w:hAnsi="Times New Roman" w:cs="Times New Roman"/>
          <w:sz w:val="24"/>
          <w:szCs w:val="24"/>
        </w:rPr>
      </w:pPr>
      <w:r w:rsidRPr="00A3068F">
        <w:rPr>
          <w:rFonts w:ascii="Times New Roman" w:hAnsi="Times New Roman" w:cs="Times New Roman"/>
          <w:sz w:val="24"/>
          <w:szCs w:val="24"/>
        </w:rPr>
        <w:t xml:space="preserve">"The Cup That Launches a Thousand Ships." </w:t>
      </w:r>
      <w:r w:rsidRPr="00A3068F">
        <w:rPr>
          <w:rFonts w:ascii="Times New Roman" w:hAnsi="Times New Roman" w:cs="Times New Roman"/>
          <w:i/>
          <w:iCs/>
          <w:sz w:val="24"/>
          <w:szCs w:val="24"/>
        </w:rPr>
        <w:t>NewYorkFirst.com</w:t>
      </w:r>
      <w:r w:rsidRPr="00A3068F">
        <w:rPr>
          <w:rFonts w:ascii="Times New Roman" w:hAnsi="Times New Roman" w:cs="Times New Roman"/>
          <w:sz w:val="24"/>
          <w:szCs w:val="24"/>
        </w:rPr>
        <w:t xml:space="preserve">. The New York First Company, </w:t>
      </w:r>
    </w:p>
    <w:p w:rsidR="00A3068F" w:rsidRPr="00A3068F" w:rsidRDefault="00A3068F" w:rsidP="00A3068F">
      <w:pPr>
        <w:spacing w:line="480" w:lineRule="auto"/>
        <w:contextualSpacing/>
        <w:rPr>
          <w:rFonts w:ascii="Times New Roman" w:hAnsi="Times New Roman" w:cs="Times New Roman"/>
          <w:sz w:val="24"/>
          <w:szCs w:val="24"/>
        </w:rPr>
      </w:pPr>
      <w:r w:rsidRPr="00A3068F">
        <w:rPr>
          <w:rFonts w:ascii="Times New Roman" w:hAnsi="Times New Roman" w:cs="Times New Roman"/>
          <w:sz w:val="24"/>
          <w:szCs w:val="24"/>
        </w:rPr>
        <w:t>Web. 12 Dec 2009. &lt;http://www.newyorkfirst.com/gifts/7073.html&gt;.</w:t>
      </w:r>
    </w:p>
    <w:p w:rsidR="00A3068F" w:rsidRDefault="00A3068F" w:rsidP="00A3068F">
      <w:pPr>
        <w:spacing w:line="480" w:lineRule="auto"/>
        <w:ind w:firstLine="0"/>
        <w:contextualSpacing/>
        <w:rPr>
          <w:rFonts w:ascii="Times New Roman" w:eastAsia="Times New Roman" w:hAnsi="Times New Roman" w:cs="Times New Roman"/>
          <w:i/>
          <w:iCs/>
          <w:sz w:val="24"/>
          <w:szCs w:val="24"/>
        </w:rPr>
      </w:pPr>
      <w:r w:rsidRPr="00A3068F">
        <w:rPr>
          <w:rFonts w:ascii="Times New Roman" w:eastAsia="Times New Roman" w:hAnsi="Times New Roman" w:cs="Times New Roman"/>
          <w:sz w:val="24"/>
          <w:szCs w:val="24"/>
        </w:rPr>
        <w:t xml:space="preserve">Untitled. </w:t>
      </w:r>
      <w:r w:rsidRPr="00FA6E0F">
        <w:rPr>
          <w:rFonts w:ascii="Times New Roman" w:eastAsia="Times New Roman" w:hAnsi="Times New Roman" w:cs="Times New Roman"/>
          <w:i/>
          <w:iCs/>
          <w:sz w:val="24"/>
          <w:szCs w:val="24"/>
        </w:rPr>
        <w:t xml:space="preserve">John Brown House Binder #4 JBH General Information and Description; Room by </w:t>
      </w:r>
    </w:p>
    <w:p w:rsidR="00A3068F" w:rsidRPr="00A3068F" w:rsidRDefault="00A3068F" w:rsidP="00A3068F">
      <w:pPr>
        <w:spacing w:line="480" w:lineRule="auto"/>
        <w:contextualSpacing/>
        <w:rPr>
          <w:rFonts w:ascii="Times New Roman" w:eastAsia="Times New Roman" w:hAnsi="Times New Roman" w:cs="Times New Roman"/>
          <w:i/>
          <w:iCs/>
          <w:sz w:val="24"/>
          <w:szCs w:val="24"/>
        </w:rPr>
      </w:pPr>
      <w:r w:rsidRPr="00FA6E0F">
        <w:rPr>
          <w:rFonts w:ascii="Times New Roman" w:eastAsia="Times New Roman" w:hAnsi="Times New Roman" w:cs="Times New Roman"/>
          <w:i/>
          <w:iCs/>
          <w:sz w:val="24"/>
          <w:szCs w:val="24"/>
        </w:rPr>
        <w:t>Room</w:t>
      </w:r>
      <w:r w:rsidRPr="00FA6E0F">
        <w:rPr>
          <w:rFonts w:ascii="Times New Roman" w:eastAsia="Times New Roman" w:hAnsi="Times New Roman" w:cs="Times New Roman"/>
          <w:sz w:val="24"/>
          <w:szCs w:val="24"/>
        </w:rPr>
        <w:t>, John Brown House Museum.</w:t>
      </w:r>
    </w:p>
    <w:p w:rsidR="00A3068F" w:rsidRPr="00A3068F" w:rsidRDefault="00A3068F" w:rsidP="00A3068F">
      <w:pPr>
        <w:spacing w:line="480" w:lineRule="auto"/>
        <w:ind w:firstLine="0"/>
        <w:contextualSpacing/>
        <w:rPr>
          <w:rFonts w:ascii="Times New Roman" w:hAnsi="Times New Roman" w:cs="Times New Roman"/>
          <w:sz w:val="24"/>
          <w:szCs w:val="24"/>
        </w:rPr>
      </w:pPr>
      <w:r w:rsidRPr="00A3068F">
        <w:rPr>
          <w:rFonts w:ascii="Times New Roman" w:hAnsi="Times New Roman" w:cs="Times New Roman"/>
          <w:sz w:val="24"/>
          <w:szCs w:val="24"/>
        </w:rPr>
        <w:t xml:space="preserve">"US Patent No. 5361639." </w:t>
      </w:r>
      <w:r w:rsidRPr="00A3068F">
        <w:rPr>
          <w:rFonts w:ascii="Times New Roman" w:hAnsi="Times New Roman" w:cs="Times New Roman"/>
          <w:i/>
          <w:iCs/>
          <w:sz w:val="24"/>
          <w:szCs w:val="24"/>
        </w:rPr>
        <w:t>Patent Storm</w:t>
      </w:r>
      <w:r w:rsidRPr="00A3068F">
        <w:rPr>
          <w:rFonts w:ascii="Times New Roman" w:hAnsi="Times New Roman" w:cs="Times New Roman"/>
          <w:sz w:val="24"/>
          <w:szCs w:val="24"/>
        </w:rPr>
        <w:t>. Patent Storm Patent Index, Web. 10 Dec 2009.</w:t>
      </w:r>
    </w:p>
    <w:p w:rsidR="00A3068F" w:rsidRPr="00A3068F" w:rsidRDefault="00A3068F" w:rsidP="00A3068F">
      <w:pPr>
        <w:spacing w:line="480" w:lineRule="auto"/>
        <w:ind w:firstLine="0"/>
        <w:contextualSpacing/>
        <w:rPr>
          <w:rFonts w:ascii="Times New Roman" w:hAnsi="Times New Roman" w:cs="Times New Roman"/>
          <w:sz w:val="24"/>
          <w:szCs w:val="24"/>
        </w:rPr>
      </w:pPr>
      <w:r w:rsidRPr="00A3068F">
        <w:rPr>
          <w:rFonts w:ascii="Times New Roman" w:hAnsi="Times New Roman" w:cs="Times New Roman"/>
          <w:sz w:val="24"/>
          <w:szCs w:val="24"/>
        </w:rPr>
        <w:t xml:space="preserve">"US Patent No. 4428498." </w:t>
      </w:r>
      <w:r w:rsidRPr="00A3068F">
        <w:rPr>
          <w:rFonts w:ascii="Times New Roman" w:hAnsi="Times New Roman" w:cs="Times New Roman"/>
          <w:i/>
          <w:iCs/>
          <w:sz w:val="24"/>
          <w:szCs w:val="24"/>
        </w:rPr>
        <w:t>Patent Storm</w:t>
      </w:r>
      <w:r w:rsidRPr="00A3068F">
        <w:rPr>
          <w:rFonts w:ascii="Times New Roman" w:hAnsi="Times New Roman" w:cs="Times New Roman"/>
          <w:sz w:val="24"/>
          <w:szCs w:val="24"/>
        </w:rPr>
        <w:t>. Patent Storm Patent Index, Web. 10 Dec 2009.</w:t>
      </w:r>
    </w:p>
    <w:p w:rsidR="00A3068F" w:rsidRPr="00A3068F" w:rsidRDefault="00A3068F" w:rsidP="00A3068F">
      <w:pPr>
        <w:spacing w:line="480" w:lineRule="auto"/>
        <w:ind w:firstLine="0"/>
        <w:contextualSpacing/>
        <w:rPr>
          <w:rFonts w:ascii="Times New Roman" w:hAnsi="Times New Roman" w:cs="Times New Roman"/>
          <w:sz w:val="24"/>
          <w:szCs w:val="24"/>
        </w:rPr>
      </w:pPr>
      <w:r w:rsidRPr="00A3068F">
        <w:rPr>
          <w:rFonts w:ascii="Times New Roman" w:hAnsi="Times New Roman" w:cs="Times New Roman"/>
          <w:sz w:val="24"/>
          <w:szCs w:val="24"/>
        </w:rPr>
        <w:t xml:space="preserve">"US Patent No. 7246716." </w:t>
      </w:r>
      <w:r w:rsidRPr="00A3068F">
        <w:rPr>
          <w:rFonts w:ascii="Times New Roman" w:hAnsi="Times New Roman" w:cs="Times New Roman"/>
          <w:i/>
          <w:iCs/>
          <w:sz w:val="24"/>
          <w:szCs w:val="24"/>
        </w:rPr>
        <w:t>Patent Storm</w:t>
      </w:r>
      <w:r w:rsidRPr="00A3068F">
        <w:rPr>
          <w:rFonts w:ascii="Times New Roman" w:hAnsi="Times New Roman" w:cs="Times New Roman"/>
          <w:sz w:val="24"/>
          <w:szCs w:val="24"/>
        </w:rPr>
        <w:t>. Patent Storm Patent Index, Web. 10 Dec 2009.</w:t>
      </w:r>
    </w:p>
    <w:p w:rsidR="00A3068F" w:rsidRPr="002B496B" w:rsidRDefault="00A3068F">
      <w:pPr>
        <w:rPr>
          <w:rFonts w:ascii="Gulim" w:eastAsia="Gulim" w:hAnsi="Gulim"/>
          <w:sz w:val="20"/>
        </w:rPr>
      </w:pPr>
    </w:p>
    <w:sectPr w:rsidR="00A3068F" w:rsidRPr="002B496B" w:rsidSect="00047F6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C74" w:rsidRDefault="008C4C74" w:rsidP="00F93FC1">
      <w:pPr>
        <w:spacing w:before="0" w:after="0"/>
      </w:pPr>
      <w:r>
        <w:separator/>
      </w:r>
    </w:p>
  </w:endnote>
  <w:endnote w:type="continuationSeparator" w:id="0">
    <w:p w:rsidR="008C4C74" w:rsidRDefault="008C4C74" w:rsidP="00F93F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C74" w:rsidRDefault="008C4C74" w:rsidP="00F93FC1">
      <w:pPr>
        <w:spacing w:before="0" w:after="0"/>
      </w:pPr>
      <w:r>
        <w:separator/>
      </w:r>
    </w:p>
  </w:footnote>
  <w:footnote w:type="continuationSeparator" w:id="0">
    <w:p w:rsidR="008C4C74" w:rsidRDefault="008C4C74" w:rsidP="00F93FC1">
      <w:pPr>
        <w:spacing w:before="0" w:after="0"/>
      </w:pPr>
      <w:r>
        <w:continuationSeparator/>
      </w:r>
    </w:p>
  </w:footnote>
  <w:footnote w:id="1">
    <w:p w:rsidR="00F93FC1" w:rsidRDefault="00F93FC1">
      <w:pPr>
        <w:pStyle w:val="FootnoteText"/>
      </w:pPr>
      <w:r>
        <w:rPr>
          <w:rStyle w:val="FootnoteReference"/>
        </w:rPr>
        <w:footnoteRef/>
      </w:r>
      <w:r>
        <w:t xml:space="preserve"> </w:t>
      </w:r>
      <w:r w:rsidR="00D917FB">
        <w:t>“Canton Porcelain,” Florida Museum of Natural History website &lt;http://www.flmnh.ufl.edu&gt;.</w:t>
      </w:r>
    </w:p>
  </w:footnote>
  <w:footnote w:id="2">
    <w:p w:rsidR="00D14EF9" w:rsidRDefault="00D14EF9">
      <w:pPr>
        <w:pStyle w:val="FootnoteText"/>
      </w:pPr>
      <w:r>
        <w:rPr>
          <w:rStyle w:val="FootnoteReference"/>
        </w:rPr>
        <w:footnoteRef/>
      </w:r>
      <w:r>
        <w:t xml:space="preserve"> </w:t>
      </w:r>
      <w:r w:rsidR="00A3068F">
        <w:t>Lorena Allen, “Chinese Canton Porcelain” Antiques and Art Around Florida &lt;http://www.aarf.com&gt;.</w:t>
      </w:r>
    </w:p>
  </w:footnote>
  <w:footnote w:id="3">
    <w:p w:rsidR="00D917FB" w:rsidRDefault="00D917FB">
      <w:pPr>
        <w:pStyle w:val="FootnoteText"/>
      </w:pPr>
      <w:r>
        <w:rPr>
          <w:rStyle w:val="FootnoteReference"/>
        </w:rPr>
        <w:footnoteRef/>
      </w:r>
      <w:r>
        <w:t xml:space="preserve"> See the Unit 8 summary by Andrew Seiden</w:t>
      </w:r>
    </w:p>
  </w:footnote>
  <w:footnote w:id="4">
    <w:p w:rsidR="00D14EF9" w:rsidRPr="00A3068F" w:rsidRDefault="00D14EF9">
      <w:pPr>
        <w:pStyle w:val="FootnoteText"/>
      </w:pPr>
      <w:r>
        <w:rPr>
          <w:rStyle w:val="FootnoteReference"/>
        </w:rPr>
        <w:footnoteRef/>
      </w:r>
      <w:r w:rsidR="00A3068F">
        <w:t xml:space="preserve"> Changes cited in: “Untitled” </w:t>
      </w:r>
      <w:r w:rsidR="00A3068F">
        <w:rPr>
          <w:i/>
        </w:rPr>
        <w:t xml:space="preserve">John Brown House Binder #4 JBH General Information and Description: Room by Room, </w:t>
      </w:r>
      <w:r w:rsidR="00A3068F">
        <w:t xml:space="preserve">John Brown House Museum. </w:t>
      </w:r>
    </w:p>
  </w:footnote>
  <w:footnote w:id="5">
    <w:p w:rsidR="009C2ADB" w:rsidRDefault="009C2ADB">
      <w:pPr>
        <w:pStyle w:val="FootnoteText"/>
      </w:pPr>
      <w:r>
        <w:rPr>
          <w:rStyle w:val="FootnoteReference"/>
        </w:rPr>
        <w:footnoteRef/>
      </w:r>
      <w:r>
        <w:t xml:space="preserve"> </w:t>
      </w:r>
      <w:r w:rsidR="000C6D64">
        <w:t xml:space="preserve"> See Ansel’s object</w:t>
      </w:r>
      <w:r w:rsidR="00A3068F">
        <w:t xml:space="preserve"> biographies from 2008 excavation report</w:t>
      </w:r>
    </w:p>
  </w:footnote>
  <w:footnote w:id="6">
    <w:p w:rsidR="000C6D64" w:rsidRDefault="000C6D64">
      <w:pPr>
        <w:pStyle w:val="FootnoteText"/>
      </w:pPr>
      <w:r>
        <w:rPr>
          <w:rStyle w:val="FootnoteReference"/>
        </w:rPr>
        <w:footnoteRef/>
      </w:r>
      <w:r>
        <w:t xml:space="preserve"> See Figure 3</w:t>
      </w:r>
    </w:p>
  </w:footnote>
  <w:footnote w:id="7">
    <w:p w:rsidR="000C6D64" w:rsidRDefault="000C6D64">
      <w:pPr>
        <w:pStyle w:val="FootnoteText"/>
      </w:pPr>
      <w:r>
        <w:rPr>
          <w:rStyle w:val="FootnoteReference"/>
        </w:rPr>
        <w:footnoteRef/>
      </w:r>
      <w:r>
        <w:t xml:space="preserve"> See Figure 2</w:t>
      </w:r>
    </w:p>
  </w:footnote>
  <w:footnote w:id="8">
    <w:p w:rsidR="000C6D64" w:rsidRDefault="000C6D64">
      <w:pPr>
        <w:pStyle w:val="FootnoteText"/>
      </w:pPr>
      <w:r>
        <w:rPr>
          <w:rStyle w:val="FootnoteReference"/>
        </w:rPr>
        <w:footnoteRef/>
      </w:r>
      <w:r>
        <w:t xml:space="preserve"> See Figure 1</w:t>
      </w:r>
    </w:p>
  </w:footnote>
  <w:footnote w:id="9">
    <w:p w:rsidR="004B111C" w:rsidRDefault="004B111C">
      <w:pPr>
        <w:pStyle w:val="FootnoteText"/>
      </w:pPr>
      <w:r>
        <w:rPr>
          <w:rStyle w:val="FootnoteReference"/>
        </w:rPr>
        <w:footnoteRef/>
      </w:r>
      <w:r>
        <w:t xml:space="preserve"> </w:t>
      </w:r>
      <w:r w:rsidR="00A3068F">
        <w:t xml:space="preserve">“The Cup that Launched a Thousand Ships” (NewYorkFirst.com, 12 Dec 2009). </w:t>
      </w:r>
    </w:p>
  </w:footnote>
  <w:footnote w:id="10">
    <w:p w:rsidR="00D917FB" w:rsidRDefault="00D917FB">
      <w:pPr>
        <w:pStyle w:val="FootnoteText"/>
      </w:pPr>
      <w:r>
        <w:rPr>
          <w:rStyle w:val="FootnoteReference"/>
        </w:rPr>
        <w:footnoteRef/>
      </w:r>
      <w:r>
        <w:t xml:space="preserve"> See the Unit 6 summary by Elise Merchant</w:t>
      </w:r>
    </w:p>
  </w:footnote>
  <w:footnote w:id="11">
    <w:p w:rsidR="00D917FB" w:rsidRDefault="00D917FB">
      <w:pPr>
        <w:pStyle w:val="FootnoteText"/>
      </w:pPr>
      <w:r>
        <w:rPr>
          <w:rStyle w:val="FootnoteReference"/>
        </w:rPr>
        <w:footnoteRef/>
      </w:r>
      <w:r>
        <w:t xml:space="preserve"> See the Unit 6 summary by Elise Merchant</w:t>
      </w:r>
    </w:p>
  </w:footnote>
  <w:footnote w:id="12">
    <w:p w:rsidR="00B806B9" w:rsidRDefault="00B806B9">
      <w:pPr>
        <w:pStyle w:val="FootnoteText"/>
      </w:pPr>
      <w:r>
        <w:rPr>
          <w:rStyle w:val="FootnoteReference"/>
        </w:rPr>
        <w:footnoteRef/>
      </w:r>
      <w:r>
        <w:t xml:space="preserve"> </w:t>
      </w:r>
      <w:r w:rsidR="00A3068F">
        <w:t>“History of Galvanization,”</w:t>
      </w:r>
      <w:r>
        <w:t xml:space="preserve">Galvanizer’s Association of Australia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96415"/>
    <w:multiLevelType w:val="hybridMultilevel"/>
    <w:tmpl w:val="96F8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726E03"/>
    <w:multiLevelType w:val="hybridMultilevel"/>
    <w:tmpl w:val="4B36E9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characterSpacingControl w:val="doNotCompress"/>
  <w:footnotePr>
    <w:footnote w:id="-1"/>
    <w:footnote w:id="0"/>
  </w:footnotePr>
  <w:endnotePr>
    <w:endnote w:id="-1"/>
    <w:endnote w:id="0"/>
  </w:endnotePr>
  <w:compat/>
  <w:rsids>
    <w:rsidRoot w:val="00A23982"/>
    <w:rsid w:val="00004A0B"/>
    <w:rsid w:val="00047F62"/>
    <w:rsid w:val="000700A8"/>
    <w:rsid w:val="000C6D64"/>
    <w:rsid w:val="000E3657"/>
    <w:rsid w:val="001042AE"/>
    <w:rsid w:val="00123946"/>
    <w:rsid w:val="00165439"/>
    <w:rsid w:val="001B78A7"/>
    <w:rsid w:val="001C244B"/>
    <w:rsid w:val="00206DFF"/>
    <w:rsid w:val="0023117C"/>
    <w:rsid w:val="002B0D48"/>
    <w:rsid w:val="002B496B"/>
    <w:rsid w:val="00325DB7"/>
    <w:rsid w:val="003C6D15"/>
    <w:rsid w:val="003C7C08"/>
    <w:rsid w:val="003F473D"/>
    <w:rsid w:val="00457FF9"/>
    <w:rsid w:val="004B111C"/>
    <w:rsid w:val="004B4E5C"/>
    <w:rsid w:val="004D10F5"/>
    <w:rsid w:val="0050429E"/>
    <w:rsid w:val="00537832"/>
    <w:rsid w:val="005619C2"/>
    <w:rsid w:val="005925AF"/>
    <w:rsid w:val="005C4614"/>
    <w:rsid w:val="00673E96"/>
    <w:rsid w:val="006C0273"/>
    <w:rsid w:val="007652F2"/>
    <w:rsid w:val="007A091D"/>
    <w:rsid w:val="008626E4"/>
    <w:rsid w:val="008A1310"/>
    <w:rsid w:val="008C4C74"/>
    <w:rsid w:val="008E5FB6"/>
    <w:rsid w:val="00952947"/>
    <w:rsid w:val="00995A5B"/>
    <w:rsid w:val="00995EA5"/>
    <w:rsid w:val="00996015"/>
    <w:rsid w:val="009C2ADB"/>
    <w:rsid w:val="009D348E"/>
    <w:rsid w:val="00A05432"/>
    <w:rsid w:val="00A23982"/>
    <w:rsid w:val="00A3068F"/>
    <w:rsid w:val="00A31196"/>
    <w:rsid w:val="00AB1B20"/>
    <w:rsid w:val="00B40377"/>
    <w:rsid w:val="00B50187"/>
    <w:rsid w:val="00B806B9"/>
    <w:rsid w:val="00B813D4"/>
    <w:rsid w:val="00B869FB"/>
    <w:rsid w:val="00BC4351"/>
    <w:rsid w:val="00BD3CB4"/>
    <w:rsid w:val="00CD7140"/>
    <w:rsid w:val="00D14EF9"/>
    <w:rsid w:val="00D41A76"/>
    <w:rsid w:val="00D64A83"/>
    <w:rsid w:val="00D917FB"/>
    <w:rsid w:val="00DF56BE"/>
    <w:rsid w:val="00E92256"/>
    <w:rsid w:val="00F1204F"/>
    <w:rsid w:val="00F15307"/>
    <w:rsid w:val="00F93FC1"/>
    <w:rsid w:val="00FB4B1B"/>
    <w:rsid w:val="00FD1B39"/>
    <w:rsid w:val="00FD4E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3982"/>
    <w:pPr>
      <w:ind w:firstLine="0"/>
    </w:pPr>
    <w:rPr>
      <w:rFonts w:ascii="Times New Roman" w:eastAsia="Times New Roman" w:hAnsi="Times New Roman" w:cs="Times New Roman"/>
      <w:sz w:val="24"/>
      <w:szCs w:val="24"/>
    </w:rPr>
  </w:style>
  <w:style w:type="paragraph" w:styleId="ListParagraph">
    <w:name w:val="List Paragraph"/>
    <w:basedOn w:val="Normal"/>
    <w:uiPriority w:val="34"/>
    <w:qFormat/>
    <w:rsid w:val="00A23982"/>
    <w:pPr>
      <w:ind w:left="720"/>
      <w:contextualSpacing/>
    </w:pPr>
  </w:style>
  <w:style w:type="paragraph" w:styleId="FootnoteText">
    <w:name w:val="footnote text"/>
    <w:basedOn w:val="Normal"/>
    <w:link w:val="FootnoteTextChar"/>
    <w:uiPriority w:val="99"/>
    <w:semiHidden/>
    <w:unhideWhenUsed/>
    <w:rsid w:val="00F93FC1"/>
    <w:pPr>
      <w:spacing w:before="0" w:after="0"/>
    </w:pPr>
    <w:rPr>
      <w:sz w:val="20"/>
      <w:szCs w:val="20"/>
    </w:rPr>
  </w:style>
  <w:style w:type="character" w:customStyle="1" w:styleId="FootnoteTextChar">
    <w:name w:val="Footnote Text Char"/>
    <w:basedOn w:val="DefaultParagraphFont"/>
    <w:link w:val="FootnoteText"/>
    <w:uiPriority w:val="99"/>
    <w:semiHidden/>
    <w:rsid w:val="00F93FC1"/>
    <w:rPr>
      <w:sz w:val="20"/>
      <w:szCs w:val="20"/>
    </w:rPr>
  </w:style>
  <w:style w:type="character" w:styleId="FootnoteReference">
    <w:name w:val="footnote reference"/>
    <w:basedOn w:val="DefaultParagraphFont"/>
    <w:uiPriority w:val="99"/>
    <w:semiHidden/>
    <w:unhideWhenUsed/>
    <w:rsid w:val="00F93FC1"/>
    <w:rPr>
      <w:vertAlign w:val="superscript"/>
    </w:rPr>
  </w:style>
  <w:style w:type="paragraph" w:styleId="BalloonText">
    <w:name w:val="Balloon Text"/>
    <w:basedOn w:val="Normal"/>
    <w:link w:val="BalloonTextChar"/>
    <w:uiPriority w:val="99"/>
    <w:semiHidden/>
    <w:unhideWhenUsed/>
    <w:rsid w:val="00673E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E96"/>
    <w:rPr>
      <w:rFonts w:ascii="Tahoma" w:hAnsi="Tahoma" w:cs="Tahoma"/>
      <w:sz w:val="16"/>
      <w:szCs w:val="16"/>
    </w:rPr>
  </w:style>
  <w:style w:type="paragraph" w:styleId="Caption">
    <w:name w:val="caption"/>
    <w:basedOn w:val="Normal"/>
    <w:next w:val="Normal"/>
    <w:uiPriority w:val="35"/>
    <w:unhideWhenUsed/>
    <w:qFormat/>
    <w:rsid w:val="00673E96"/>
    <w:pPr>
      <w:spacing w:before="0" w:after="200"/>
    </w:pPr>
    <w:rPr>
      <w:b/>
      <w:bCs/>
      <w:color w:val="4F81BD" w:themeColor="accent1"/>
      <w:sz w:val="18"/>
      <w:szCs w:val="18"/>
    </w:rPr>
  </w:style>
  <w:style w:type="paragraph" w:styleId="Header">
    <w:name w:val="header"/>
    <w:basedOn w:val="Normal"/>
    <w:link w:val="HeaderChar"/>
    <w:uiPriority w:val="99"/>
    <w:semiHidden/>
    <w:unhideWhenUsed/>
    <w:rsid w:val="009C2ADB"/>
    <w:pPr>
      <w:tabs>
        <w:tab w:val="center" w:pos="4680"/>
        <w:tab w:val="right" w:pos="9360"/>
      </w:tabs>
      <w:spacing w:before="0" w:after="0"/>
    </w:pPr>
  </w:style>
  <w:style w:type="character" w:customStyle="1" w:styleId="HeaderChar">
    <w:name w:val="Header Char"/>
    <w:basedOn w:val="DefaultParagraphFont"/>
    <w:link w:val="Header"/>
    <w:uiPriority w:val="99"/>
    <w:semiHidden/>
    <w:rsid w:val="009C2ADB"/>
  </w:style>
  <w:style w:type="paragraph" w:styleId="Footer">
    <w:name w:val="footer"/>
    <w:basedOn w:val="Normal"/>
    <w:link w:val="FooterChar"/>
    <w:uiPriority w:val="99"/>
    <w:semiHidden/>
    <w:unhideWhenUsed/>
    <w:rsid w:val="009C2ADB"/>
    <w:pPr>
      <w:tabs>
        <w:tab w:val="center" w:pos="4680"/>
        <w:tab w:val="right" w:pos="9360"/>
      </w:tabs>
      <w:spacing w:before="0" w:after="0"/>
    </w:pPr>
  </w:style>
  <w:style w:type="character" w:customStyle="1" w:styleId="FooterChar">
    <w:name w:val="Footer Char"/>
    <w:basedOn w:val="DefaultParagraphFont"/>
    <w:link w:val="Footer"/>
    <w:uiPriority w:val="99"/>
    <w:semiHidden/>
    <w:rsid w:val="009C2ADB"/>
  </w:style>
  <w:style w:type="character" w:styleId="Hyperlink">
    <w:name w:val="Hyperlink"/>
    <w:basedOn w:val="DefaultParagraphFont"/>
    <w:uiPriority w:val="99"/>
    <w:unhideWhenUsed/>
    <w:rsid w:val="00D917F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5082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F4566A4-D0FA-4E8A-BFDE-A1DF8622D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2226</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B. Thelemaque</dc:creator>
  <cp:lastModifiedBy>Alyssa B. Thelemaque</cp:lastModifiedBy>
  <cp:revision>2</cp:revision>
  <dcterms:created xsi:type="dcterms:W3CDTF">2009-12-14T20:54:00Z</dcterms:created>
  <dcterms:modified xsi:type="dcterms:W3CDTF">2009-12-14T20:54:00Z</dcterms:modified>
</cp:coreProperties>
</file>