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B7" w:rsidRDefault="00BA532A" w:rsidP="0077710F">
      <w:pPr>
        <w:spacing w:line="480" w:lineRule="auto"/>
      </w:pPr>
      <w:r>
        <w:t>Nick Bartos</w:t>
      </w:r>
    </w:p>
    <w:p w:rsidR="00BA532A" w:rsidRDefault="00BA532A" w:rsidP="0077710F">
      <w:pPr>
        <w:spacing w:line="480" w:lineRule="auto"/>
      </w:pPr>
      <w:r>
        <w:t xml:space="preserve">Prof. </w:t>
      </w:r>
      <w:proofErr w:type="spellStart"/>
      <w:r>
        <w:t>Ryzewski</w:t>
      </w:r>
      <w:proofErr w:type="spellEnd"/>
    </w:p>
    <w:p w:rsidR="00BA532A" w:rsidRDefault="00BA532A" w:rsidP="0077710F">
      <w:pPr>
        <w:spacing w:line="480" w:lineRule="auto"/>
      </w:pPr>
      <w:r>
        <w:t>Arch. of College Hill</w:t>
      </w:r>
    </w:p>
    <w:p w:rsidR="00BA532A" w:rsidRDefault="00BA532A" w:rsidP="0077710F">
      <w:pPr>
        <w:spacing w:line="480" w:lineRule="auto"/>
      </w:pPr>
      <w:r>
        <w:t>7 November 2010</w:t>
      </w:r>
    </w:p>
    <w:p w:rsidR="00280666" w:rsidRDefault="00280666" w:rsidP="0077710F">
      <w:pPr>
        <w:spacing w:line="480" w:lineRule="auto"/>
        <w:jc w:val="center"/>
      </w:pPr>
      <w:r>
        <w:t>Back to the Future:</w:t>
      </w:r>
    </w:p>
    <w:p w:rsidR="00BA532A" w:rsidRDefault="00280666" w:rsidP="005F4321">
      <w:pPr>
        <w:spacing w:line="480" w:lineRule="auto"/>
        <w:jc w:val="center"/>
      </w:pPr>
      <w:r>
        <w:t>The Role of New Technology in Archaeological Presentation and the Past</w:t>
      </w:r>
    </w:p>
    <w:p w:rsidR="002E0F87" w:rsidRDefault="00BA532A" w:rsidP="0077710F">
      <w:pPr>
        <w:spacing w:line="480" w:lineRule="auto"/>
        <w:ind w:firstLine="720"/>
      </w:pPr>
      <w:r>
        <w:t xml:space="preserve">Only a decade into the new millennium, it is clear that the future of archaeology is one of highly technical presentation, increasing reliance on the digital record, and most obviously, rapid change.  As we continue </w:t>
      </w:r>
      <w:r w:rsidR="00A35CFD">
        <w:t xml:space="preserve">the </w:t>
      </w:r>
      <w:r>
        <w:t xml:space="preserve">struggle </w:t>
      </w:r>
      <w:r w:rsidR="00A35CFD">
        <w:t>to, as Gavin Lucas puts it, maintain both the social and archaeological contexts of our sites, we must consider how to properly present them against a backdrop</w:t>
      </w:r>
      <w:r w:rsidR="00A85C12">
        <w:t xml:space="preserve"> of constantly changing technology and methodology (2001: 105).</w:t>
      </w:r>
      <w:r w:rsidR="001624AF">
        <w:t xml:space="preserve">  As Addison (2008), </w:t>
      </w:r>
      <w:proofErr w:type="spellStart"/>
      <w:r w:rsidR="001624AF">
        <w:t>Lewi</w:t>
      </w:r>
      <w:proofErr w:type="spellEnd"/>
      <w:r w:rsidR="001624AF">
        <w:t xml:space="preserve"> (2003), and </w:t>
      </w:r>
      <w:proofErr w:type="spellStart"/>
      <w:r w:rsidR="001624AF">
        <w:t>Roussou</w:t>
      </w:r>
      <w:proofErr w:type="spellEnd"/>
      <w:r w:rsidR="001624AF">
        <w:t xml:space="preserve"> (2003) </w:t>
      </w:r>
      <w:r w:rsidR="00A85C12">
        <w:t>describe, the surging interest in digital representations of the past for both public display a</w:t>
      </w:r>
      <w:r w:rsidR="009D5A9F">
        <w:t xml:space="preserve">nd scholarly use has lead to an </w:t>
      </w:r>
      <w:r w:rsidR="00A85C12">
        <w:t>increasing “cross-fertilization”</w:t>
      </w:r>
      <w:r w:rsidR="009D5A9F">
        <w:t xml:space="preserve"> </w:t>
      </w:r>
      <w:r w:rsidR="001624AF">
        <w:t>of</w:t>
      </w:r>
      <w:r w:rsidR="00A85C12">
        <w:t xml:space="preserve"> multiple disciplines </w:t>
      </w:r>
      <w:r w:rsidR="001624AF">
        <w:t>(</w:t>
      </w:r>
      <w:proofErr w:type="spellStart"/>
      <w:r w:rsidR="001624AF">
        <w:t>Roussou</w:t>
      </w:r>
      <w:proofErr w:type="spellEnd"/>
      <w:r w:rsidR="001624AF">
        <w:t>, 2003: 225).</w:t>
      </w:r>
      <w:r w:rsidR="009D5A9F">
        <w:t xml:space="preserve">  However, with further developments in this so called area of “virtual heritage” comes a new set of complications about how to create an accurate, organized presentation that s</w:t>
      </w:r>
      <w:r w:rsidR="002E0F87">
        <w:t>till captivates and educates an audience.  In recogn</w:t>
      </w:r>
      <w:r w:rsidR="003F5F70">
        <w:t xml:space="preserve">izing these new challenges, </w:t>
      </w:r>
      <w:r w:rsidR="002E0F87">
        <w:t xml:space="preserve">the authors provide a series of recommendations </w:t>
      </w:r>
      <w:r w:rsidR="003F5F70">
        <w:t xml:space="preserve">for sites transitioning to different </w:t>
      </w:r>
      <w:r w:rsidR="002E0F87">
        <w:t>form</w:t>
      </w:r>
      <w:r w:rsidR="003F5F70">
        <w:t>s</w:t>
      </w:r>
      <w:r w:rsidR="002E0F87">
        <w:t xml:space="preserve"> of digital presentation and record-keeping.</w:t>
      </w:r>
      <w:r w:rsidR="003F5F70">
        <w:t xml:space="preserve">  Our excavation at the John Brown House</w:t>
      </w:r>
      <w:r w:rsidR="00817375">
        <w:t xml:space="preserve"> (JBH)</w:t>
      </w:r>
      <w:r w:rsidR="003F5F70">
        <w:t xml:space="preserve"> serves as one </w:t>
      </w:r>
      <w:r w:rsidR="00817375">
        <w:t xml:space="preserve">such example of </w:t>
      </w:r>
      <w:r w:rsidR="003F5F70">
        <w:t xml:space="preserve">a transitioning </w:t>
      </w:r>
      <w:r w:rsidR="005710BA">
        <w:t xml:space="preserve">site.  While in many ways our current methods </w:t>
      </w:r>
      <w:r w:rsidR="00817375">
        <w:t>illustrate some of the authors’ concerns, as the JBH findings get more extensive and complicated, there is certainly room for improvement in the digital realm.  Thus, by analyzing</w:t>
      </w:r>
      <w:r w:rsidR="005710BA">
        <w:t xml:space="preserve"> the JBH site and its steady</w:t>
      </w:r>
      <w:r w:rsidR="00817375">
        <w:t xml:space="preserve"> transition</w:t>
      </w:r>
      <w:r w:rsidR="00915FCA">
        <w:t>, we can see not only the rise of new presentation technologies, but also their future implications.</w:t>
      </w:r>
    </w:p>
    <w:p w:rsidR="004A099E" w:rsidRDefault="002101CC" w:rsidP="0077710F">
      <w:pPr>
        <w:spacing w:line="480" w:lineRule="auto"/>
      </w:pPr>
      <w:r>
        <w:lastRenderedPageBreak/>
        <w:tab/>
        <w:t>While the explosion of the Digital Age will undoubtedly</w:t>
      </w:r>
      <w:r w:rsidR="00B32095">
        <w:t xml:space="preserve"> prove</w:t>
      </w:r>
      <w:r>
        <w:t xml:space="preserve"> influential, Addison (2008), </w:t>
      </w:r>
      <w:proofErr w:type="spellStart"/>
      <w:r>
        <w:t>Lewi</w:t>
      </w:r>
      <w:proofErr w:type="spellEnd"/>
      <w:r>
        <w:t xml:space="preserve"> (2003), and </w:t>
      </w:r>
      <w:proofErr w:type="spellStart"/>
      <w:r>
        <w:t>Roussou</w:t>
      </w:r>
      <w:proofErr w:type="spellEnd"/>
      <w:r>
        <w:t xml:space="preserve"> (2003) are quick to note a variety of complications which must be considered if virtual heritage is to be beneficial to future archaeological practice.  As Lucas states, in presentation, it is our duty as archaeologists to represent </w:t>
      </w:r>
      <w:r w:rsidR="00013CCA">
        <w:t>not only individual components or typologies, but the greater site as a whole (2001: 83).</w:t>
      </w:r>
      <w:r w:rsidR="00DC05D2">
        <w:t xml:space="preserve">  In thinking about this goal, </w:t>
      </w:r>
      <w:proofErr w:type="spellStart"/>
      <w:r w:rsidR="00DC05D2">
        <w:t>Roussou</w:t>
      </w:r>
      <w:proofErr w:type="spellEnd"/>
      <w:r w:rsidR="00DC05D2">
        <w:t xml:space="preserve"> argues that</w:t>
      </w:r>
      <w:r w:rsidR="00D309A3">
        <w:t xml:space="preserve"> digital presentations, in order to be valid, must ensure a rich mixture of what he calls “representation,</w:t>
      </w:r>
      <w:r w:rsidR="002C4C8B">
        <w:t>”</w:t>
      </w:r>
      <w:r w:rsidR="00D309A3">
        <w:t xml:space="preserve"> </w:t>
      </w:r>
      <w:r w:rsidR="002C4C8B">
        <w:t>“</w:t>
      </w:r>
      <w:r w:rsidR="00D309A3">
        <w:t>experience,</w:t>
      </w:r>
      <w:r w:rsidR="002C4C8B">
        <w:t>”</w:t>
      </w:r>
      <w:r w:rsidR="00D309A3">
        <w:t xml:space="preserve"> and </w:t>
      </w:r>
      <w:r w:rsidR="002C4C8B">
        <w:t xml:space="preserve">“interaction” (2003: 226).  </w:t>
      </w:r>
      <w:proofErr w:type="spellStart"/>
      <w:r w:rsidR="002C4C8B">
        <w:t>Roussou’s</w:t>
      </w:r>
      <w:proofErr w:type="spellEnd"/>
      <w:r w:rsidR="002C4C8B">
        <w:t xml:space="preserve"> “representation”</w:t>
      </w:r>
      <w:r w:rsidR="00B32095">
        <w:t xml:space="preserve"> refers to actual </w:t>
      </w:r>
      <w:r w:rsidR="002C4C8B">
        <w:t xml:space="preserve">simulation which, according to Addison, must strike a balance between realistic images and </w:t>
      </w:r>
      <w:r w:rsidR="00B32095">
        <w:t xml:space="preserve">believable </w:t>
      </w:r>
      <w:r w:rsidR="002C4C8B">
        <w:t>environments and archaeological accuracy (</w:t>
      </w:r>
      <w:proofErr w:type="spellStart"/>
      <w:r w:rsidR="002C4C8B">
        <w:t>Roussou</w:t>
      </w:r>
      <w:proofErr w:type="spellEnd"/>
      <w:r w:rsidR="002C4C8B">
        <w:t xml:space="preserve"> 2003: </w:t>
      </w:r>
      <w:r w:rsidR="00E85AF0">
        <w:t>226, Addison, 2008: 34).</w:t>
      </w:r>
      <w:r w:rsidR="00902111">
        <w:t xml:space="preserve">  Within this bal</w:t>
      </w:r>
      <w:r w:rsidR="00B32095">
        <w:t xml:space="preserve">ance, a visitor will get a imaginative </w:t>
      </w:r>
      <w:r w:rsidR="00902111">
        <w:t xml:space="preserve">“experience” </w:t>
      </w:r>
      <w:r w:rsidR="004A099E">
        <w:t xml:space="preserve">and meaningful “interaction” </w:t>
      </w:r>
      <w:r w:rsidR="00902111">
        <w:t>that includes tactile elements (even if this is just controlling a computer screen)</w:t>
      </w:r>
      <w:r w:rsidR="004A099E">
        <w:t xml:space="preserve">, a guiding narrative, and </w:t>
      </w:r>
      <w:r w:rsidR="00452AA8">
        <w:t>some</w:t>
      </w:r>
      <w:r w:rsidR="00D314C5">
        <w:t xml:space="preserve"> freedom to determine the linearity of </w:t>
      </w:r>
      <w:r w:rsidR="004A099E">
        <w:t>the program, all of which will eventually lead to a greater intellectual understanding (</w:t>
      </w:r>
      <w:proofErr w:type="spellStart"/>
      <w:r w:rsidR="004A099E">
        <w:t>Roussou</w:t>
      </w:r>
      <w:proofErr w:type="spellEnd"/>
      <w:r w:rsidR="004A099E">
        <w:t xml:space="preserve"> 2003: 238).</w:t>
      </w:r>
      <w:r w:rsidR="003C3623">
        <w:t xml:space="preserve">  Furthermore, </w:t>
      </w:r>
      <w:proofErr w:type="spellStart"/>
      <w:r w:rsidR="003C3623">
        <w:t>Lewi</w:t>
      </w:r>
      <w:proofErr w:type="spellEnd"/>
      <w:r w:rsidR="003C3623">
        <w:t xml:space="preserve"> and Addison argue that virtual heritage also serves as a kind of archive for archaeologists that </w:t>
      </w:r>
      <w:r w:rsidR="0010181D">
        <w:t xml:space="preserve">should include all relevant data in an easily </w:t>
      </w:r>
      <w:r w:rsidR="000B6D9A">
        <w:t>accessible</w:t>
      </w:r>
      <w:r w:rsidR="0010181D">
        <w:t xml:space="preserve">, technologically up-to-date </w:t>
      </w:r>
      <w:r w:rsidR="000B6D9A">
        <w:t>format (</w:t>
      </w:r>
      <w:proofErr w:type="spellStart"/>
      <w:r w:rsidR="000B6D9A">
        <w:t>Lewi</w:t>
      </w:r>
      <w:proofErr w:type="spellEnd"/>
      <w:r w:rsidR="000B6D9A">
        <w:t xml:space="preserve"> 2003: 271, Addison 2008: 37).</w:t>
      </w:r>
      <w:r w:rsidR="00D314C5">
        <w:t xml:space="preserve">  Thus, when creating digital media, we must consider both its entertainment and captivating qualities for the public as well as its accuracy and research potential for archaeologists.   </w:t>
      </w:r>
    </w:p>
    <w:p w:rsidR="00C26A49" w:rsidRDefault="00F47A4E" w:rsidP="0077710F">
      <w:pPr>
        <w:spacing w:line="480" w:lineRule="auto"/>
      </w:pPr>
      <w:r>
        <w:tab/>
      </w:r>
      <w:r w:rsidR="00FA792B">
        <w:t>The Joh</w:t>
      </w:r>
      <w:r w:rsidR="00062B3A">
        <w:t xml:space="preserve">n Brown House site is </w:t>
      </w:r>
      <w:r w:rsidR="00FA792B">
        <w:t xml:space="preserve">an example of an excavation that is steadily shifting to incorporate the new technologies described by </w:t>
      </w:r>
      <w:r w:rsidR="00062B3A">
        <w:t xml:space="preserve">Addison (2008), </w:t>
      </w:r>
      <w:proofErr w:type="spellStart"/>
      <w:r w:rsidR="00062B3A">
        <w:t>Lewi</w:t>
      </w:r>
      <w:proofErr w:type="spellEnd"/>
      <w:r w:rsidR="00062B3A">
        <w:t xml:space="preserve"> (2003), and </w:t>
      </w:r>
      <w:proofErr w:type="spellStart"/>
      <w:r w:rsidR="00062B3A">
        <w:t>Roussou</w:t>
      </w:r>
      <w:proofErr w:type="spellEnd"/>
      <w:r w:rsidR="00062B3A">
        <w:t xml:space="preserve"> (2003).  While this transition is far from complete, the current digital presentation of the JBH site does reflect many of the authors’ concerns.</w:t>
      </w:r>
      <w:r w:rsidR="00F65408">
        <w:t xml:space="preserve">  Displayed primarily through the </w:t>
      </w:r>
      <w:proofErr w:type="spellStart"/>
      <w:r w:rsidR="00F65408">
        <w:t>Joukowsky</w:t>
      </w:r>
      <w:proofErr w:type="spellEnd"/>
      <w:r w:rsidR="00F65408">
        <w:t xml:space="preserve"> Institute of Archaeology website, </w:t>
      </w:r>
      <w:r w:rsidR="00F61403">
        <w:t xml:space="preserve">presentation of the JBH site includes updated field blogs from </w:t>
      </w:r>
      <w:r w:rsidR="00F61403">
        <w:lastRenderedPageBreak/>
        <w:t xml:space="preserve">excavators, weekly excavation and unit summaries, relevant historical documents, images of the </w:t>
      </w:r>
      <w:r w:rsidR="00452AA8">
        <w:t>site</w:t>
      </w:r>
      <w:r w:rsidR="00F61403">
        <w:t>, and archives of previous final publications.</w:t>
      </w:r>
      <w:r w:rsidR="00452AA8">
        <w:t xml:space="preserve">  All of these components combine to show the evolution from raw data and research to the final polished report.  Thus, </w:t>
      </w:r>
      <w:r w:rsidR="00D36C21">
        <w:t>as</w:t>
      </w:r>
      <w:r w:rsidR="00D36C21" w:rsidRPr="00D36C21">
        <w:t xml:space="preserve"> </w:t>
      </w:r>
      <w:r w:rsidR="007B1E9C">
        <w:t>Addison (2008) an</w:t>
      </w:r>
      <w:r w:rsidR="00D36C21">
        <w:t xml:space="preserve">d </w:t>
      </w:r>
      <w:proofErr w:type="spellStart"/>
      <w:r w:rsidR="00D36C21">
        <w:t>Lewi</w:t>
      </w:r>
      <w:proofErr w:type="spellEnd"/>
      <w:r w:rsidR="00D36C21">
        <w:t xml:space="preserve"> (2003) would suggest, </w:t>
      </w:r>
      <w:r w:rsidR="007B1E9C">
        <w:t>this data is</w:t>
      </w:r>
      <w:r w:rsidR="00452AA8">
        <w:t xml:space="preserve"> accessible, up-to-date, and in an </w:t>
      </w:r>
      <w:r w:rsidR="00D36C21">
        <w:t>easily translatable format.</w:t>
      </w:r>
      <w:r w:rsidR="007B1E9C">
        <w:t xml:space="preserve">  In addition, the final 2010 </w:t>
      </w:r>
      <w:r w:rsidR="00DD311B">
        <w:t xml:space="preserve">excavation report will feature </w:t>
      </w:r>
      <w:r w:rsidR="007B1E9C">
        <w:t>a</w:t>
      </w:r>
      <w:r w:rsidR="00DD311B">
        <w:t xml:space="preserve"> multimedia walking tour of the entire John Brown House site.   Because the walking tour w</w:t>
      </w:r>
      <w:r w:rsidR="00615F04">
        <w:t xml:space="preserve">ill combine </w:t>
      </w:r>
      <w:r w:rsidR="00C26A49">
        <w:t xml:space="preserve">real </w:t>
      </w:r>
      <w:r w:rsidR="00615F04">
        <w:t>images of excavation i</w:t>
      </w:r>
      <w:r w:rsidR="00B32095">
        <w:t>n progress, primary documents, and v</w:t>
      </w:r>
      <w:r w:rsidR="00615F04">
        <w:t xml:space="preserve">ideo footage, </w:t>
      </w:r>
      <w:r w:rsidR="00B32095">
        <w:t xml:space="preserve">the </w:t>
      </w:r>
      <w:r w:rsidR="00C26A49">
        <w:t>DVD will effectively balance artistic and interpretative representation with accurate information</w:t>
      </w:r>
      <w:r w:rsidR="00CB42AD">
        <w:t xml:space="preserve">, one of </w:t>
      </w:r>
      <w:r w:rsidR="00C26A49">
        <w:t>Addison</w:t>
      </w:r>
      <w:r w:rsidR="00CB42AD">
        <w:t>’s major concerns</w:t>
      </w:r>
      <w:r w:rsidR="00C26A49">
        <w:t xml:space="preserve"> (2008</w:t>
      </w:r>
      <w:r w:rsidR="00CB42AD">
        <w:t>: 34</w:t>
      </w:r>
      <w:r w:rsidR="00C26A49">
        <w:t>).</w:t>
      </w:r>
      <w:r w:rsidR="00464DEE">
        <w:t xml:space="preserve">  Finally, in relation to </w:t>
      </w:r>
      <w:proofErr w:type="spellStart"/>
      <w:r w:rsidR="00464DEE">
        <w:t>Roussou’</w:t>
      </w:r>
      <w:r w:rsidR="00B1355B">
        <w:t>s</w:t>
      </w:r>
      <w:proofErr w:type="spellEnd"/>
      <w:r w:rsidR="00B1355B">
        <w:t xml:space="preserve"> notion of </w:t>
      </w:r>
      <w:r w:rsidR="00464DEE">
        <w:t xml:space="preserve">linearity, </w:t>
      </w:r>
      <w:r w:rsidR="00B1355B">
        <w:t>within the constraints of the website, a visitor has the freedom to control which areas they choose to explore or ignore while simultaneously being partially guided by thematic structure (2003: 238).</w:t>
      </w:r>
      <w:r w:rsidR="005C498B">
        <w:t xml:space="preserve">  Therefore, even in the initial presentation of the JBH site, we can see many of the authors’ suggestions put into action.</w:t>
      </w:r>
    </w:p>
    <w:p w:rsidR="00CD771C" w:rsidRDefault="00CD5AF6" w:rsidP="0077710F">
      <w:pPr>
        <w:spacing w:line="480" w:lineRule="auto"/>
      </w:pPr>
      <w:r>
        <w:tab/>
        <w:t xml:space="preserve">While the </w:t>
      </w:r>
      <w:proofErr w:type="spellStart"/>
      <w:r>
        <w:t>Joukowsky</w:t>
      </w:r>
      <w:proofErr w:type="spellEnd"/>
      <w:r>
        <w:t xml:space="preserve"> Institute of Archaeology website does serve as an excellent form of archaeological presentation, there is still room from improvement.  As our understanding of the JBH site increases, we need to seriously consider more advanced methods of digital representation and their potential complications.  </w:t>
      </w:r>
      <w:r w:rsidR="0004388A">
        <w:t xml:space="preserve">For instance, many fundamental elements of </w:t>
      </w:r>
      <w:proofErr w:type="spellStart"/>
      <w:r w:rsidR="0004388A">
        <w:t>Roussou’s</w:t>
      </w:r>
      <w:proofErr w:type="spellEnd"/>
      <w:r w:rsidR="0004388A">
        <w:t xml:space="preserve"> “experience” and “interaction” are strikingly missing from the JBH displays</w:t>
      </w:r>
      <w:r w:rsidR="00247E4E">
        <w:t xml:space="preserve"> (2003: 226)</w:t>
      </w:r>
      <w:r w:rsidR="0004388A">
        <w:t>.</w:t>
      </w:r>
      <w:r w:rsidR="00247E4E">
        <w:t xml:space="preserve">  Without the inclusion of any sort of three-dimensional </w:t>
      </w:r>
      <w:r w:rsidR="00CD771C">
        <w:t>program, visitors have no access to the tactical component of “experience” that can “enhance their understanding of the material attributes, weight, and volume of architectural members” (</w:t>
      </w:r>
      <w:proofErr w:type="spellStart"/>
      <w:r w:rsidR="00CD771C">
        <w:t>Roussou</w:t>
      </w:r>
      <w:proofErr w:type="spellEnd"/>
      <w:r w:rsidR="00CD771C">
        <w:t>, 2003: 234).</w:t>
      </w:r>
      <w:r w:rsidR="00EB70CA">
        <w:t xml:space="preserve">  Furthermore, the website lacks </w:t>
      </w:r>
      <w:proofErr w:type="spellStart"/>
      <w:r w:rsidR="00EB70CA">
        <w:t>Roussou’s</w:t>
      </w:r>
      <w:proofErr w:type="spellEnd"/>
      <w:r w:rsidR="00EB70CA">
        <w:t xml:space="preserve"> concept of a guiding narrative (2003: 234).  In other words, while visitors can explore elements of website in any order, it is very difficult to get a logical and </w:t>
      </w:r>
      <w:r w:rsidR="00EB70CA">
        <w:lastRenderedPageBreak/>
        <w:t>relatively concise idea of the JBH excavation without sifting through almost two hundred pages of text, some of which can be quite te</w:t>
      </w:r>
      <w:r w:rsidR="00DA392A">
        <w:t>chnical.  Perhaps a better example of a guiding narrative is the Greene Farm Archaeological Project website which features links to material remains by relative chr</w:t>
      </w:r>
      <w:r w:rsidR="009F7D5E">
        <w:t>onology and summaries of major finds in a slideshow format.</w:t>
      </w:r>
      <w:r w:rsidR="005E6682">
        <w:t xml:space="preserve">  So, we can see that in the midst of changing technology, the JBH presentation is just a few steps away from being a truly comprehensive model.</w:t>
      </w:r>
    </w:p>
    <w:p w:rsidR="00CD771C" w:rsidRDefault="00C81F9D" w:rsidP="0077710F">
      <w:pPr>
        <w:spacing w:line="480" w:lineRule="auto"/>
      </w:pPr>
      <w:r>
        <w:tab/>
      </w:r>
      <w:r w:rsidR="003D6854">
        <w:t xml:space="preserve">With the growing complexity of digital mediums, archaeological presentation is going through significant and rapid changes that come with their </w:t>
      </w:r>
      <w:r w:rsidR="00920062">
        <w:t>own set of considerations</w:t>
      </w:r>
      <w:r w:rsidR="003D6854">
        <w:t xml:space="preserve">.  As Addison (2008), </w:t>
      </w:r>
      <w:proofErr w:type="spellStart"/>
      <w:r w:rsidR="003D6854">
        <w:t>Lewi</w:t>
      </w:r>
      <w:proofErr w:type="spellEnd"/>
      <w:r w:rsidR="003D6854">
        <w:t xml:space="preserve"> (2003), and </w:t>
      </w:r>
      <w:proofErr w:type="spellStart"/>
      <w:r w:rsidR="003D6854">
        <w:t>Roussou</w:t>
      </w:r>
      <w:proofErr w:type="spellEnd"/>
      <w:r w:rsidR="003D6854">
        <w:t xml:space="preserve"> (2003) demonstrate, transitioning sites</w:t>
      </w:r>
      <w:r w:rsidR="00920062">
        <w:t xml:space="preserve"> such as the John Brown House are</w:t>
      </w:r>
      <w:r w:rsidR="003D6854">
        <w:t xml:space="preserve"> faced with the responsibility of keeping up with the increased digital needs of the general pu</w:t>
      </w:r>
      <w:r w:rsidR="00920062">
        <w:t xml:space="preserve">blic and other archaeologists.  However, because this is a relatively recent shift, its much wider repercussions </w:t>
      </w:r>
      <w:r w:rsidR="000023AA">
        <w:t xml:space="preserve">remain unknown.  Certainly, on the surface, we see a rise in the general standards of archaeological presentation.  Yet, we still cannot predict whether this will translate into a permanent change in the actual creation of archaeological displays or just the image of the ideal display.  </w:t>
      </w:r>
      <w:r w:rsidR="00920062">
        <w:t xml:space="preserve">As archaeologists </w:t>
      </w:r>
      <w:r w:rsidR="007E4BC9">
        <w:t>and as members of the public</w:t>
      </w:r>
      <w:r w:rsidR="0044307B">
        <w:t>, we can only hope that wh</w:t>
      </w:r>
      <w:r w:rsidR="007E4BC9">
        <w:t>atever</w:t>
      </w:r>
      <w:r w:rsidR="00D32A69">
        <w:t xml:space="preserve"> </w:t>
      </w:r>
      <w:r w:rsidR="007E4BC9">
        <w:t xml:space="preserve">future technology </w:t>
      </w:r>
      <w:r w:rsidR="0044307B">
        <w:t xml:space="preserve">entails, </w:t>
      </w:r>
      <w:r w:rsidR="00D32A69">
        <w:t xml:space="preserve">it leads to a more thorough and </w:t>
      </w:r>
      <w:r w:rsidR="0044307B">
        <w:t>entertaining look into the past.</w:t>
      </w:r>
    </w:p>
    <w:p w:rsidR="00CD771C" w:rsidRDefault="00CD771C" w:rsidP="00F7590E"/>
    <w:p w:rsidR="0004388A" w:rsidRDefault="0004388A" w:rsidP="00F7590E"/>
    <w:p w:rsidR="0004388A" w:rsidRDefault="0004388A" w:rsidP="00F7590E"/>
    <w:p w:rsidR="005F4321" w:rsidRDefault="005F4321" w:rsidP="00F7590E"/>
    <w:p w:rsidR="005F4321" w:rsidRDefault="005F4321" w:rsidP="00F7590E"/>
    <w:p w:rsidR="005F4321" w:rsidRDefault="005F4321" w:rsidP="00F7590E"/>
    <w:p w:rsidR="005F4321" w:rsidRDefault="005F4321" w:rsidP="00F7590E"/>
    <w:p w:rsidR="00C26A49" w:rsidRDefault="00C26A49" w:rsidP="00F7590E"/>
    <w:p w:rsidR="00C26A49" w:rsidRDefault="00C26A49" w:rsidP="00F7590E"/>
    <w:p w:rsidR="00C26A49" w:rsidRDefault="00C26A49" w:rsidP="00F7590E"/>
    <w:p w:rsidR="00C26A49" w:rsidRDefault="00C26A49" w:rsidP="00F7590E"/>
    <w:p w:rsidR="00C26A49" w:rsidRDefault="00C26A49" w:rsidP="00F7590E"/>
    <w:p w:rsidR="00A3329D" w:rsidRDefault="0077710F" w:rsidP="00A3329D">
      <w:pPr>
        <w:jc w:val="center"/>
      </w:pPr>
      <w:r>
        <w:lastRenderedPageBreak/>
        <w:t>Works Cited</w:t>
      </w:r>
    </w:p>
    <w:p w:rsidR="00A3329D" w:rsidRDefault="00A3329D" w:rsidP="00A3329D">
      <w:pPr>
        <w:jc w:val="center"/>
      </w:pPr>
    </w:p>
    <w:p w:rsidR="00A3329D" w:rsidRDefault="0077710F" w:rsidP="00A3329D">
      <w:pPr>
        <w:spacing w:line="480" w:lineRule="auto"/>
        <w:rPr>
          <w:rFonts w:eastAsia="Times New Roman"/>
          <w:color w:val="3A1E1A"/>
          <w:szCs w:val="17"/>
        </w:rPr>
      </w:pPr>
      <w:r w:rsidRPr="00EF433F">
        <w:rPr>
          <w:rFonts w:eastAsia="Times New Roman"/>
          <w:color w:val="3A1E1A"/>
          <w:szCs w:val="17"/>
        </w:rPr>
        <w:t>Addison, Alonzo C. 2008. “</w:t>
      </w:r>
      <w:r w:rsidRPr="0077710F">
        <w:rPr>
          <w:rFonts w:eastAsia="Times New Roman"/>
          <w:color w:val="3A1E1A"/>
          <w:szCs w:val="17"/>
        </w:rPr>
        <w:t xml:space="preserve">The Vanishing Virtual: Safeguarding heritage's endangered digital </w:t>
      </w:r>
      <w:r w:rsidR="00A3329D">
        <w:rPr>
          <w:rFonts w:eastAsia="Times New Roman"/>
          <w:color w:val="3A1E1A"/>
          <w:szCs w:val="17"/>
        </w:rPr>
        <w:tab/>
      </w:r>
      <w:r w:rsidRPr="0077710F">
        <w:rPr>
          <w:rFonts w:eastAsia="Times New Roman"/>
          <w:color w:val="3A1E1A"/>
          <w:szCs w:val="17"/>
        </w:rPr>
        <w:t>record.</w:t>
      </w:r>
      <w:r w:rsidRPr="00EF433F">
        <w:rPr>
          <w:rFonts w:eastAsia="Times New Roman"/>
          <w:color w:val="3A1E1A"/>
          <w:szCs w:val="17"/>
        </w:rPr>
        <w:t xml:space="preserve">” </w:t>
      </w:r>
      <w:r w:rsidRPr="0077710F">
        <w:rPr>
          <w:rFonts w:eastAsia="Times New Roman"/>
          <w:color w:val="3A1E1A"/>
          <w:szCs w:val="17"/>
        </w:rPr>
        <w:t xml:space="preserve"> In Y. </w:t>
      </w:r>
      <w:proofErr w:type="spellStart"/>
      <w:r w:rsidRPr="0077710F">
        <w:rPr>
          <w:rFonts w:eastAsia="Times New Roman"/>
          <w:color w:val="3A1E1A"/>
          <w:szCs w:val="17"/>
        </w:rPr>
        <w:t>Kalay</w:t>
      </w:r>
      <w:proofErr w:type="spellEnd"/>
      <w:r w:rsidRPr="0077710F">
        <w:rPr>
          <w:rFonts w:eastAsia="Times New Roman"/>
          <w:color w:val="3A1E1A"/>
          <w:szCs w:val="17"/>
        </w:rPr>
        <w:t xml:space="preserve">, T. </w:t>
      </w:r>
      <w:proofErr w:type="spellStart"/>
      <w:r w:rsidRPr="0077710F">
        <w:rPr>
          <w:rFonts w:eastAsia="Times New Roman"/>
          <w:color w:val="3A1E1A"/>
          <w:szCs w:val="17"/>
        </w:rPr>
        <w:t>Kvan</w:t>
      </w:r>
      <w:proofErr w:type="spellEnd"/>
      <w:r w:rsidRPr="0077710F">
        <w:rPr>
          <w:rFonts w:eastAsia="Times New Roman"/>
          <w:color w:val="3A1E1A"/>
          <w:szCs w:val="17"/>
        </w:rPr>
        <w:t xml:space="preserve">, and J. Affleck, </w:t>
      </w:r>
      <w:r w:rsidRPr="0077710F">
        <w:rPr>
          <w:rFonts w:eastAsia="Times New Roman"/>
          <w:i/>
          <w:color w:val="3A1E1A"/>
          <w:szCs w:val="17"/>
        </w:rPr>
        <w:t xml:space="preserve">New Heritage: New Media and Cultural </w:t>
      </w:r>
      <w:r w:rsidR="00A3329D">
        <w:rPr>
          <w:rFonts w:eastAsia="Times New Roman"/>
          <w:i/>
          <w:color w:val="3A1E1A"/>
          <w:szCs w:val="17"/>
        </w:rPr>
        <w:tab/>
      </w:r>
      <w:r w:rsidRPr="0077710F">
        <w:rPr>
          <w:rFonts w:eastAsia="Times New Roman"/>
          <w:i/>
          <w:color w:val="3A1E1A"/>
          <w:szCs w:val="17"/>
        </w:rPr>
        <w:t>Heritage</w:t>
      </w:r>
      <w:r w:rsidRPr="0077710F">
        <w:rPr>
          <w:rFonts w:eastAsia="Times New Roman"/>
          <w:color w:val="3A1E1A"/>
          <w:szCs w:val="17"/>
        </w:rPr>
        <w:t xml:space="preserve">, </w:t>
      </w:r>
      <w:proofErr w:type="spellStart"/>
      <w:r w:rsidR="00733173" w:rsidRPr="00EF433F">
        <w:rPr>
          <w:rFonts w:eastAsia="Times New Roman"/>
          <w:color w:val="3A1E1A"/>
          <w:szCs w:val="17"/>
        </w:rPr>
        <w:t>Routledge</w:t>
      </w:r>
      <w:proofErr w:type="spellEnd"/>
      <w:r w:rsidR="00733173" w:rsidRPr="00EF433F">
        <w:rPr>
          <w:rFonts w:eastAsia="Times New Roman"/>
          <w:color w:val="3A1E1A"/>
          <w:szCs w:val="17"/>
        </w:rPr>
        <w:t xml:space="preserve">: London, </w:t>
      </w:r>
      <w:r w:rsidRPr="0077710F">
        <w:rPr>
          <w:rFonts w:eastAsia="Times New Roman"/>
          <w:color w:val="3A1E1A"/>
          <w:szCs w:val="17"/>
        </w:rPr>
        <w:t>27-39.</w:t>
      </w:r>
    </w:p>
    <w:p w:rsidR="00EF433F" w:rsidRDefault="00733173" w:rsidP="00A3329D">
      <w:pPr>
        <w:spacing w:line="480" w:lineRule="auto"/>
        <w:rPr>
          <w:rFonts w:eastAsia="Times New Roman"/>
          <w:color w:val="3A1E1A"/>
          <w:szCs w:val="17"/>
        </w:rPr>
      </w:pPr>
      <w:proofErr w:type="spellStart"/>
      <w:r w:rsidRPr="00EF433F">
        <w:rPr>
          <w:rFonts w:eastAsia="Times New Roman"/>
          <w:color w:val="3A1E1A"/>
          <w:szCs w:val="17"/>
        </w:rPr>
        <w:t>Lewi</w:t>
      </w:r>
      <w:proofErr w:type="spellEnd"/>
      <w:r w:rsidRPr="00EF433F">
        <w:rPr>
          <w:rFonts w:eastAsia="Times New Roman"/>
          <w:color w:val="3A1E1A"/>
          <w:szCs w:val="17"/>
        </w:rPr>
        <w:t>, Hannah. 2003. “</w:t>
      </w:r>
      <w:r w:rsidR="0077710F" w:rsidRPr="0077710F">
        <w:rPr>
          <w:rFonts w:eastAsia="Times New Roman"/>
          <w:color w:val="3A1E1A"/>
          <w:szCs w:val="17"/>
        </w:rPr>
        <w:t>Designing a Virtual Museum of Architectural Heritage.</w:t>
      </w:r>
      <w:r w:rsidRPr="00EF433F">
        <w:rPr>
          <w:rFonts w:eastAsia="Times New Roman"/>
          <w:color w:val="3A1E1A"/>
          <w:szCs w:val="17"/>
        </w:rPr>
        <w:t>”</w:t>
      </w:r>
      <w:r w:rsidR="0077710F" w:rsidRPr="0077710F">
        <w:rPr>
          <w:rFonts w:eastAsia="Times New Roman"/>
          <w:color w:val="3A1E1A"/>
          <w:szCs w:val="17"/>
        </w:rPr>
        <w:t xml:space="preserve"> In S. Kane, ed., </w:t>
      </w:r>
      <w:r w:rsidR="00A3329D">
        <w:rPr>
          <w:rFonts w:eastAsia="Times New Roman"/>
          <w:color w:val="3A1E1A"/>
          <w:szCs w:val="17"/>
        </w:rPr>
        <w:tab/>
      </w:r>
      <w:proofErr w:type="gramStart"/>
      <w:r w:rsidR="0077710F" w:rsidRPr="0077710F">
        <w:rPr>
          <w:rFonts w:eastAsia="Times New Roman"/>
          <w:i/>
          <w:color w:val="3A1E1A"/>
          <w:szCs w:val="17"/>
        </w:rPr>
        <w:t>The</w:t>
      </w:r>
      <w:proofErr w:type="gramEnd"/>
      <w:r w:rsidR="0077710F" w:rsidRPr="0077710F">
        <w:rPr>
          <w:rFonts w:eastAsia="Times New Roman"/>
          <w:i/>
          <w:color w:val="3A1E1A"/>
          <w:szCs w:val="17"/>
        </w:rPr>
        <w:t xml:space="preserve"> Politics of Archaeology and Identity in a Global Contest</w:t>
      </w:r>
      <w:r w:rsidR="0077710F" w:rsidRPr="0077710F">
        <w:rPr>
          <w:rFonts w:eastAsia="Times New Roman"/>
          <w:color w:val="3A1E1A"/>
          <w:szCs w:val="17"/>
        </w:rPr>
        <w:t xml:space="preserve">, 261-274. </w:t>
      </w:r>
      <w:r w:rsidR="00EF433F">
        <w:rPr>
          <w:rFonts w:eastAsia="Times New Roman"/>
          <w:color w:val="3A1E1A"/>
          <w:szCs w:val="17"/>
        </w:rPr>
        <w:tab/>
      </w:r>
      <w:r w:rsidR="00EF433F">
        <w:rPr>
          <w:rFonts w:eastAsia="Times New Roman"/>
          <w:color w:val="3A1E1A"/>
          <w:szCs w:val="17"/>
        </w:rPr>
        <w:tab/>
      </w:r>
      <w:r w:rsidR="00EF433F">
        <w:rPr>
          <w:rFonts w:eastAsia="Times New Roman"/>
          <w:color w:val="3A1E1A"/>
          <w:szCs w:val="17"/>
        </w:rPr>
        <w:tab/>
      </w:r>
    </w:p>
    <w:p w:rsidR="0077710F" w:rsidRPr="0077710F" w:rsidRDefault="00EF433F" w:rsidP="00A3329D">
      <w:pPr>
        <w:spacing w:line="480" w:lineRule="auto"/>
        <w:rPr>
          <w:rFonts w:eastAsia="Times New Roman"/>
          <w:color w:val="3A1E1A"/>
          <w:szCs w:val="17"/>
        </w:rPr>
      </w:pPr>
      <w:r w:rsidRPr="00EF433F">
        <w:rPr>
          <w:rFonts w:eastAsia="Times New Roman"/>
          <w:color w:val="3A1E1A"/>
          <w:szCs w:val="17"/>
        </w:rPr>
        <w:t>Lucas, Gavin. 2001. “Chapter 3, ‘Splitting Objects,’ ”</w:t>
      </w:r>
      <w:r w:rsidRPr="0077710F">
        <w:rPr>
          <w:rFonts w:eastAsia="Times New Roman"/>
          <w:color w:val="3A1E1A"/>
          <w:szCs w:val="17"/>
        </w:rPr>
        <w:t xml:space="preserve"> In </w:t>
      </w:r>
      <w:r w:rsidRPr="0077710F">
        <w:rPr>
          <w:rFonts w:eastAsia="Times New Roman"/>
          <w:i/>
          <w:color w:val="3A1E1A"/>
          <w:szCs w:val="17"/>
        </w:rPr>
        <w:t>Critical Approaches to Fieldwork</w:t>
      </w:r>
      <w:r w:rsidRPr="00EF433F">
        <w:rPr>
          <w:rFonts w:eastAsia="Times New Roman"/>
          <w:color w:val="3A1E1A"/>
          <w:szCs w:val="17"/>
        </w:rPr>
        <w:t xml:space="preserve">. </w:t>
      </w:r>
      <w:r w:rsidR="00A3329D">
        <w:rPr>
          <w:rFonts w:eastAsia="Times New Roman"/>
          <w:color w:val="3A1E1A"/>
          <w:szCs w:val="17"/>
        </w:rPr>
        <w:tab/>
      </w:r>
      <w:proofErr w:type="spellStart"/>
      <w:r w:rsidRPr="00EF433F">
        <w:rPr>
          <w:rFonts w:eastAsia="Times New Roman"/>
          <w:color w:val="3A1E1A"/>
          <w:szCs w:val="17"/>
        </w:rPr>
        <w:t>Routledge</w:t>
      </w:r>
      <w:proofErr w:type="spellEnd"/>
      <w:r w:rsidRPr="00EF433F">
        <w:rPr>
          <w:rFonts w:eastAsia="Times New Roman"/>
          <w:color w:val="3A1E1A"/>
          <w:szCs w:val="17"/>
        </w:rPr>
        <w:t xml:space="preserve">: London, </w:t>
      </w:r>
      <w:r w:rsidRPr="0077710F">
        <w:rPr>
          <w:rFonts w:eastAsia="Times New Roman"/>
          <w:color w:val="3A1E1A"/>
          <w:szCs w:val="17"/>
        </w:rPr>
        <w:t>64-106.</w:t>
      </w:r>
    </w:p>
    <w:p w:rsidR="0077710F" w:rsidRPr="0077710F" w:rsidRDefault="00733173" w:rsidP="00A3329D">
      <w:pPr>
        <w:spacing w:line="480" w:lineRule="auto"/>
        <w:rPr>
          <w:rFonts w:eastAsia="Times New Roman"/>
          <w:color w:val="3A1E1A"/>
          <w:szCs w:val="17"/>
        </w:rPr>
      </w:pPr>
      <w:proofErr w:type="spellStart"/>
      <w:r w:rsidRPr="00EF433F">
        <w:rPr>
          <w:rFonts w:eastAsia="Times New Roman"/>
          <w:color w:val="3A1E1A"/>
          <w:szCs w:val="17"/>
        </w:rPr>
        <w:t>Roussou</w:t>
      </w:r>
      <w:proofErr w:type="spellEnd"/>
      <w:r w:rsidRPr="00EF433F">
        <w:rPr>
          <w:rFonts w:eastAsia="Times New Roman"/>
          <w:color w:val="3A1E1A"/>
          <w:szCs w:val="17"/>
        </w:rPr>
        <w:t>, Maria. 2003. “</w:t>
      </w:r>
      <w:r w:rsidR="0077710F" w:rsidRPr="0077710F">
        <w:rPr>
          <w:rFonts w:eastAsia="Times New Roman"/>
          <w:color w:val="3A1E1A"/>
          <w:szCs w:val="17"/>
        </w:rPr>
        <w:t>The Components of Engagement in Virtual Heritage Environments.</w:t>
      </w:r>
      <w:r w:rsidRPr="00EF433F">
        <w:rPr>
          <w:rFonts w:eastAsia="Times New Roman"/>
          <w:color w:val="3A1E1A"/>
          <w:szCs w:val="17"/>
        </w:rPr>
        <w:t>”</w:t>
      </w:r>
      <w:r w:rsidR="0077710F" w:rsidRPr="0077710F">
        <w:rPr>
          <w:rFonts w:eastAsia="Times New Roman"/>
          <w:color w:val="3A1E1A"/>
          <w:szCs w:val="17"/>
        </w:rPr>
        <w:t xml:space="preserve"> In </w:t>
      </w:r>
      <w:r w:rsidR="00A3329D">
        <w:rPr>
          <w:rFonts w:eastAsia="Times New Roman"/>
          <w:color w:val="3A1E1A"/>
          <w:szCs w:val="17"/>
        </w:rPr>
        <w:tab/>
      </w:r>
      <w:r w:rsidR="0077710F" w:rsidRPr="0077710F">
        <w:rPr>
          <w:rFonts w:eastAsia="Times New Roman"/>
          <w:color w:val="3A1E1A"/>
          <w:szCs w:val="17"/>
        </w:rPr>
        <w:t xml:space="preserve">S. Kane, ed., </w:t>
      </w:r>
      <w:r w:rsidR="0077710F" w:rsidRPr="0077710F">
        <w:rPr>
          <w:rFonts w:eastAsia="Times New Roman"/>
          <w:i/>
          <w:color w:val="3A1E1A"/>
          <w:szCs w:val="17"/>
        </w:rPr>
        <w:t>The Politics of Archaeology and Identity in a Global Contest</w:t>
      </w:r>
      <w:r w:rsidR="0077710F" w:rsidRPr="0077710F">
        <w:rPr>
          <w:rFonts w:eastAsia="Times New Roman"/>
          <w:color w:val="3A1E1A"/>
          <w:szCs w:val="17"/>
        </w:rPr>
        <w:t xml:space="preserve">, </w:t>
      </w:r>
      <w:r w:rsidR="00A3329D">
        <w:rPr>
          <w:rFonts w:eastAsia="Times New Roman"/>
          <w:color w:val="3A1E1A"/>
          <w:szCs w:val="17"/>
        </w:rPr>
        <w:tab/>
        <w:t xml:space="preserve">Archaeological Institute of America: New York, </w:t>
      </w:r>
      <w:r w:rsidR="0077710F" w:rsidRPr="0077710F">
        <w:rPr>
          <w:rFonts w:eastAsia="Times New Roman"/>
          <w:color w:val="3A1E1A"/>
          <w:szCs w:val="17"/>
        </w:rPr>
        <w:t>225-241.</w:t>
      </w:r>
    </w:p>
    <w:p w:rsidR="002E0F87" w:rsidRPr="00A3329D" w:rsidRDefault="00EF433F" w:rsidP="00A3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Courier New"/>
          <w:szCs w:val="20"/>
        </w:rPr>
      </w:pPr>
      <w:proofErr w:type="spellStart"/>
      <w:proofErr w:type="gramStart"/>
      <w:r w:rsidRPr="00EF433F">
        <w:rPr>
          <w:rFonts w:eastAsia="Times New Roman" w:cs="Courier New"/>
          <w:szCs w:val="20"/>
        </w:rPr>
        <w:t>Ryzewski</w:t>
      </w:r>
      <w:proofErr w:type="spellEnd"/>
      <w:r w:rsidRPr="00EF433F">
        <w:rPr>
          <w:rFonts w:eastAsia="Times New Roman" w:cs="Courier New"/>
          <w:szCs w:val="20"/>
        </w:rPr>
        <w:t xml:space="preserve">, </w:t>
      </w:r>
      <w:proofErr w:type="spellStart"/>
      <w:r w:rsidRPr="00EF433F">
        <w:rPr>
          <w:rFonts w:eastAsia="Times New Roman" w:cs="Courier New"/>
          <w:szCs w:val="20"/>
        </w:rPr>
        <w:t>Krysta</w:t>
      </w:r>
      <w:proofErr w:type="spellEnd"/>
      <w:r w:rsidRPr="00EF433F">
        <w:rPr>
          <w:rFonts w:eastAsia="Times New Roman" w:cs="Courier New"/>
          <w:szCs w:val="20"/>
        </w:rPr>
        <w:t>, and Caroline Frank.</w:t>
      </w:r>
      <w:proofErr w:type="gramEnd"/>
      <w:r w:rsidRPr="00EF433F">
        <w:rPr>
          <w:rFonts w:eastAsia="Times New Roman" w:cs="Courier New"/>
          <w:szCs w:val="20"/>
        </w:rPr>
        <w:t xml:space="preserve"> </w:t>
      </w:r>
      <w:proofErr w:type="gramStart"/>
      <w:r w:rsidRPr="00EF433F">
        <w:rPr>
          <w:rFonts w:eastAsia="Times New Roman" w:cs="Courier New"/>
          <w:i/>
          <w:iCs/>
          <w:szCs w:val="20"/>
        </w:rPr>
        <w:t>The Greene Farm Archaeology Project</w:t>
      </w:r>
      <w:r w:rsidR="00A3329D">
        <w:rPr>
          <w:rFonts w:eastAsia="Times New Roman" w:cs="Courier New"/>
          <w:szCs w:val="20"/>
        </w:rPr>
        <w:t>.</w:t>
      </w:r>
      <w:proofErr w:type="gramEnd"/>
      <w:r w:rsidR="00A3329D">
        <w:rPr>
          <w:rFonts w:eastAsia="Times New Roman" w:cs="Courier New"/>
          <w:szCs w:val="20"/>
        </w:rPr>
        <w:t xml:space="preserve"> </w:t>
      </w:r>
      <w:proofErr w:type="spellStart"/>
      <w:proofErr w:type="gramStart"/>
      <w:r w:rsidR="00A3329D">
        <w:rPr>
          <w:rFonts w:eastAsia="Times New Roman" w:cs="Courier New"/>
          <w:szCs w:val="20"/>
        </w:rPr>
        <w:t>N.p</w:t>
      </w:r>
      <w:proofErr w:type="spellEnd"/>
      <w:proofErr w:type="gramEnd"/>
      <w:r w:rsidR="00A3329D">
        <w:rPr>
          <w:rFonts w:eastAsia="Times New Roman" w:cs="Courier New"/>
          <w:szCs w:val="20"/>
        </w:rPr>
        <w:t xml:space="preserve">., </w:t>
      </w:r>
      <w:proofErr w:type="spellStart"/>
      <w:r w:rsidR="00A3329D">
        <w:rPr>
          <w:rFonts w:eastAsia="Times New Roman" w:cs="Courier New"/>
          <w:szCs w:val="20"/>
        </w:rPr>
        <w:t>n.d</w:t>
      </w:r>
      <w:proofErr w:type="spellEnd"/>
      <w:r w:rsidR="00A3329D">
        <w:rPr>
          <w:rFonts w:eastAsia="Times New Roman" w:cs="Courier New"/>
          <w:szCs w:val="20"/>
        </w:rPr>
        <w:t xml:space="preserve">. Web. 7 </w:t>
      </w:r>
      <w:r w:rsidR="00A3329D">
        <w:rPr>
          <w:rFonts w:eastAsia="Times New Roman" w:cs="Courier New"/>
          <w:szCs w:val="20"/>
        </w:rPr>
        <w:tab/>
      </w:r>
      <w:r w:rsidRPr="00EF433F">
        <w:rPr>
          <w:rFonts w:eastAsia="Times New Roman" w:cs="Courier New"/>
          <w:szCs w:val="20"/>
        </w:rPr>
        <w:t xml:space="preserve">Nov. 2010. &lt;http://proteus.brown.edu/greenefarm/Home&gt;. </w:t>
      </w:r>
    </w:p>
    <w:p w:rsidR="00EF433F" w:rsidRPr="00EF433F" w:rsidRDefault="00EF433F" w:rsidP="00A3329D">
      <w:pPr>
        <w:pStyle w:val="HTMLPreformatted"/>
        <w:spacing w:line="480" w:lineRule="auto"/>
        <w:rPr>
          <w:rFonts w:ascii="Times New Roman" w:hAnsi="Times New Roman"/>
          <w:sz w:val="24"/>
        </w:rPr>
      </w:pPr>
      <w:proofErr w:type="gramStart"/>
      <w:r w:rsidRPr="00EF433F">
        <w:rPr>
          <w:rFonts w:ascii="Times New Roman" w:hAnsi="Times New Roman"/>
          <w:i/>
          <w:iCs/>
          <w:sz w:val="24"/>
        </w:rPr>
        <w:t>The Archaeology of College Hill 2010</w:t>
      </w:r>
      <w:r w:rsidRPr="00EF433F">
        <w:rPr>
          <w:rFonts w:ascii="Times New Roman" w:hAnsi="Times New Roman"/>
          <w:sz w:val="24"/>
        </w:rPr>
        <w:t>.</w:t>
      </w:r>
      <w:proofErr w:type="gramEnd"/>
      <w:r w:rsidRPr="00EF433F">
        <w:rPr>
          <w:rFonts w:ascii="Times New Roman" w:hAnsi="Times New Roman"/>
          <w:sz w:val="24"/>
        </w:rPr>
        <w:t xml:space="preserve"> </w:t>
      </w:r>
      <w:proofErr w:type="spellStart"/>
      <w:proofErr w:type="gramStart"/>
      <w:r w:rsidRPr="00EF433F">
        <w:rPr>
          <w:rFonts w:ascii="Times New Roman" w:hAnsi="Times New Roman"/>
          <w:sz w:val="24"/>
        </w:rPr>
        <w:t>N.p</w:t>
      </w:r>
      <w:proofErr w:type="spellEnd"/>
      <w:proofErr w:type="gramEnd"/>
      <w:r w:rsidRPr="00EF433F">
        <w:rPr>
          <w:rFonts w:ascii="Times New Roman" w:hAnsi="Times New Roman"/>
          <w:sz w:val="24"/>
        </w:rPr>
        <w:t xml:space="preserve">., </w:t>
      </w:r>
      <w:proofErr w:type="spellStart"/>
      <w:r w:rsidRPr="00EF433F">
        <w:rPr>
          <w:rFonts w:ascii="Times New Roman" w:hAnsi="Times New Roman"/>
          <w:sz w:val="24"/>
        </w:rPr>
        <w:t>n.d</w:t>
      </w:r>
      <w:proofErr w:type="spellEnd"/>
      <w:r w:rsidRPr="00EF433F">
        <w:rPr>
          <w:rFonts w:ascii="Times New Roman" w:hAnsi="Times New Roman"/>
          <w:sz w:val="24"/>
        </w:rPr>
        <w:t xml:space="preserve">. Web. 7 Nov. 2010. &lt;http://proteus.brown.edu/ </w:t>
      </w:r>
    </w:p>
    <w:p w:rsidR="00EF433F" w:rsidRPr="00EF433F" w:rsidRDefault="00EF433F" w:rsidP="00A3329D">
      <w:pPr>
        <w:pStyle w:val="HTMLPreformatted"/>
        <w:spacing w:line="480" w:lineRule="auto"/>
        <w:rPr>
          <w:rFonts w:ascii="Times New Roman" w:hAnsi="Times New Roman"/>
          <w:sz w:val="24"/>
        </w:rPr>
      </w:pPr>
      <w:r w:rsidRPr="00EF433F">
        <w:rPr>
          <w:rFonts w:ascii="Times New Roman" w:hAnsi="Times New Roman"/>
          <w:sz w:val="24"/>
        </w:rPr>
        <w:t xml:space="preserve">     </w:t>
      </w:r>
      <w:proofErr w:type="gramStart"/>
      <w:r w:rsidRPr="00EF433F">
        <w:rPr>
          <w:rFonts w:ascii="Times New Roman" w:hAnsi="Times New Roman"/>
          <w:sz w:val="24"/>
        </w:rPr>
        <w:t>collegehill2010/Home</w:t>
      </w:r>
      <w:proofErr w:type="gramEnd"/>
      <w:r w:rsidRPr="00EF433F">
        <w:rPr>
          <w:rFonts w:ascii="Times New Roman" w:hAnsi="Times New Roman"/>
          <w:sz w:val="24"/>
        </w:rPr>
        <w:t xml:space="preserve">&gt;. </w:t>
      </w:r>
    </w:p>
    <w:p w:rsidR="00EF433F" w:rsidRDefault="00EF433F" w:rsidP="00A3329D">
      <w:pPr>
        <w:spacing w:line="480" w:lineRule="auto"/>
      </w:pPr>
    </w:p>
    <w:p w:rsidR="002E0F87" w:rsidRDefault="002E0F87"/>
    <w:p w:rsidR="002E0F87" w:rsidRDefault="002E0F87"/>
    <w:p w:rsidR="002E0F87" w:rsidRDefault="002E0F87"/>
    <w:p w:rsidR="003F5F70" w:rsidRDefault="003F5F70"/>
    <w:p w:rsidR="003F5F70" w:rsidRDefault="003F5F70"/>
    <w:p w:rsidR="003F5F70" w:rsidRDefault="003F5F70"/>
    <w:p w:rsidR="002E0F87" w:rsidRDefault="002E0F87"/>
    <w:p w:rsidR="002E0F87" w:rsidRDefault="002E0F87"/>
    <w:p w:rsidR="002E0F87" w:rsidRDefault="002E0F87"/>
    <w:p w:rsidR="002E0F87" w:rsidRDefault="002E0F87"/>
    <w:p w:rsidR="002E0F87" w:rsidRDefault="002E0F87"/>
    <w:p w:rsidR="00BA532A" w:rsidRDefault="00BA532A"/>
    <w:sectPr w:rsidR="00BA532A" w:rsidSect="00E206B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040" w:rsidRDefault="00D60040" w:rsidP="00280666">
      <w:r>
        <w:separator/>
      </w:r>
    </w:p>
  </w:endnote>
  <w:endnote w:type="continuationSeparator" w:id="0">
    <w:p w:rsidR="00D60040" w:rsidRDefault="00D60040" w:rsidP="00280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040" w:rsidRDefault="00D60040" w:rsidP="00280666">
      <w:r>
        <w:separator/>
      </w:r>
    </w:p>
  </w:footnote>
  <w:footnote w:type="continuationSeparator" w:id="0">
    <w:p w:rsidR="00D60040" w:rsidRDefault="00D60040" w:rsidP="00280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644530"/>
      <w:docPartObj>
        <w:docPartGallery w:val="Page Numbers (Top of Page)"/>
        <w:docPartUnique/>
      </w:docPartObj>
    </w:sdtPr>
    <w:sdtContent>
      <w:p w:rsidR="00280666" w:rsidRDefault="00280666">
        <w:pPr>
          <w:pStyle w:val="Header"/>
          <w:jc w:val="right"/>
        </w:pPr>
        <w:r>
          <w:t xml:space="preserve">Bartos </w:t>
        </w:r>
        <w:fldSimple w:instr=" PAGE   \* MERGEFORMAT ">
          <w:r w:rsidR="005F4321">
            <w:rPr>
              <w:noProof/>
            </w:rPr>
            <w:t>5</w:t>
          </w:r>
        </w:fldSimple>
      </w:p>
    </w:sdtContent>
  </w:sdt>
  <w:p w:rsidR="00280666" w:rsidRDefault="002806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532A"/>
    <w:rsid w:val="000023AA"/>
    <w:rsid w:val="00013CCA"/>
    <w:rsid w:val="0004388A"/>
    <w:rsid w:val="00062B3A"/>
    <w:rsid w:val="000B6D9A"/>
    <w:rsid w:val="0010181D"/>
    <w:rsid w:val="001624AF"/>
    <w:rsid w:val="002101CC"/>
    <w:rsid w:val="00247E4E"/>
    <w:rsid w:val="00280666"/>
    <w:rsid w:val="002C4C8B"/>
    <w:rsid w:val="002E0AD1"/>
    <w:rsid w:val="002E0F87"/>
    <w:rsid w:val="003C3623"/>
    <w:rsid w:val="003D6854"/>
    <w:rsid w:val="003F5F70"/>
    <w:rsid w:val="0044307B"/>
    <w:rsid w:val="00452AA8"/>
    <w:rsid w:val="00464DEE"/>
    <w:rsid w:val="004A099E"/>
    <w:rsid w:val="005710BA"/>
    <w:rsid w:val="005C498B"/>
    <w:rsid w:val="005E6682"/>
    <w:rsid w:val="005F4321"/>
    <w:rsid w:val="00615F04"/>
    <w:rsid w:val="00637386"/>
    <w:rsid w:val="0068623D"/>
    <w:rsid w:val="00733173"/>
    <w:rsid w:val="0077710F"/>
    <w:rsid w:val="007B1E9C"/>
    <w:rsid w:val="007E4BC9"/>
    <w:rsid w:val="00817375"/>
    <w:rsid w:val="008213E3"/>
    <w:rsid w:val="008A5D6C"/>
    <w:rsid w:val="00902111"/>
    <w:rsid w:val="00915FCA"/>
    <w:rsid w:val="00920062"/>
    <w:rsid w:val="00993B55"/>
    <w:rsid w:val="009D5A9F"/>
    <w:rsid w:val="009F7D5E"/>
    <w:rsid w:val="00A3329D"/>
    <w:rsid w:val="00A35CFD"/>
    <w:rsid w:val="00A85C12"/>
    <w:rsid w:val="00B1355B"/>
    <w:rsid w:val="00B32095"/>
    <w:rsid w:val="00BA532A"/>
    <w:rsid w:val="00BB0CBD"/>
    <w:rsid w:val="00C26A49"/>
    <w:rsid w:val="00C81F9D"/>
    <w:rsid w:val="00CB42AD"/>
    <w:rsid w:val="00CD5AF6"/>
    <w:rsid w:val="00CD771C"/>
    <w:rsid w:val="00D309A3"/>
    <w:rsid w:val="00D314C5"/>
    <w:rsid w:val="00D32A69"/>
    <w:rsid w:val="00D36C21"/>
    <w:rsid w:val="00D4577F"/>
    <w:rsid w:val="00D60040"/>
    <w:rsid w:val="00DA392A"/>
    <w:rsid w:val="00DC05D2"/>
    <w:rsid w:val="00DD311B"/>
    <w:rsid w:val="00E206B7"/>
    <w:rsid w:val="00E85AF0"/>
    <w:rsid w:val="00EB70CA"/>
    <w:rsid w:val="00EB7970"/>
    <w:rsid w:val="00EF433F"/>
    <w:rsid w:val="00F47A4E"/>
    <w:rsid w:val="00F61403"/>
    <w:rsid w:val="00F65408"/>
    <w:rsid w:val="00F7590E"/>
    <w:rsid w:val="00FA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66"/>
    <w:pPr>
      <w:tabs>
        <w:tab w:val="center" w:pos="4680"/>
        <w:tab w:val="right" w:pos="9360"/>
      </w:tabs>
    </w:pPr>
  </w:style>
  <w:style w:type="character" w:customStyle="1" w:styleId="HeaderChar">
    <w:name w:val="Header Char"/>
    <w:basedOn w:val="DefaultParagraphFont"/>
    <w:link w:val="Header"/>
    <w:uiPriority w:val="99"/>
    <w:rsid w:val="00280666"/>
  </w:style>
  <w:style w:type="paragraph" w:styleId="Footer">
    <w:name w:val="footer"/>
    <w:basedOn w:val="Normal"/>
    <w:link w:val="FooterChar"/>
    <w:uiPriority w:val="99"/>
    <w:semiHidden/>
    <w:unhideWhenUsed/>
    <w:rsid w:val="00280666"/>
    <w:pPr>
      <w:tabs>
        <w:tab w:val="center" w:pos="4680"/>
        <w:tab w:val="right" w:pos="9360"/>
      </w:tabs>
    </w:pPr>
  </w:style>
  <w:style w:type="character" w:customStyle="1" w:styleId="FooterChar">
    <w:name w:val="Footer Char"/>
    <w:basedOn w:val="DefaultParagraphFont"/>
    <w:link w:val="Footer"/>
    <w:uiPriority w:val="99"/>
    <w:semiHidden/>
    <w:rsid w:val="00280666"/>
  </w:style>
  <w:style w:type="character" w:styleId="Hyperlink">
    <w:name w:val="Hyperlink"/>
    <w:basedOn w:val="DefaultParagraphFont"/>
    <w:uiPriority w:val="99"/>
    <w:semiHidden/>
    <w:unhideWhenUsed/>
    <w:rsid w:val="0077710F"/>
    <w:rPr>
      <w:strike w:val="0"/>
      <w:dstrike w:val="0"/>
      <w:color w:val="6A3730"/>
      <w:u w:val="none"/>
      <w:effect w:val="none"/>
    </w:rPr>
  </w:style>
  <w:style w:type="paragraph" w:styleId="NormalWeb">
    <w:name w:val="Normal (Web)"/>
    <w:basedOn w:val="Normal"/>
    <w:uiPriority w:val="99"/>
    <w:semiHidden/>
    <w:unhideWhenUsed/>
    <w:rsid w:val="0077710F"/>
    <w:pPr>
      <w:spacing w:before="100" w:beforeAutospacing="1" w:after="100" w:afterAutospacing="1"/>
    </w:pPr>
    <w:rPr>
      <w:rFonts w:ascii="Verdana" w:eastAsia="Times New Roman" w:hAnsi="Verdana"/>
      <w:color w:val="3A1E1A"/>
      <w:sz w:val="17"/>
      <w:szCs w:val="17"/>
    </w:rPr>
  </w:style>
  <w:style w:type="character" w:customStyle="1" w:styleId="smalltext1">
    <w:name w:val="smalltext1"/>
    <w:basedOn w:val="DefaultParagraphFont"/>
    <w:rsid w:val="0077710F"/>
    <w:rPr>
      <w:sz w:val="14"/>
      <w:szCs w:val="14"/>
    </w:rPr>
  </w:style>
  <w:style w:type="paragraph" w:styleId="BalloonText">
    <w:name w:val="Balloon Text"/>
    <w:basedOn w:val="Normal"/>
    <w:link w:val="BalloonTextChar"/>
    <w:uiPriority w:val="99"/>
    <w:semiHidden/>
    <w:unhideWhenUsed/>
    <w:rsid w:val="0077710F"/>
    <w:rPr>
      <w:rFonts w:ascii="Tahoma" w:hAnsi="Tahoma" w:cs="Tahoma"/>
      <w:sz w:val="16"/>
      <w:szCs w:val="16"/>
    </w:rPr>
  </w:style>
  <w:style w:type="character" w:customStyle="1" w:styleId="BalloonTextChar">
    <w:name w:val="Balloon Text Char"/>
    <w:basedOn w:val="DefaultParagraphFont"/>
    <w:link w:val="BalloonText"/>
    <w:uiPriority w:val="99"/>
    <w:semiHidden/>
    <w:rsid w:val="0077710F"/>
    <w:rPr>
      <w:rFonts w:ascii="Tahoma" w:hAnsi="Tahoma" w:cs="Tahoma"/>
      <w:sz w:val="16"/>
      <w:szCs w:val="16"/>
    </w:rPr>
  </w:style>
  <w:style w:type="paragraph" w:styleId="HTMLPreformatted">
    <w:name w:val="HTML Preformatted"/>
    <w:basedOn w:val="Normal"/>
    <w:link w:val="HTMLPreformattedChar"/>
    <w:uiPriority w:val="99"/>
    <w:semiHidden/>
    <w:unhideWhenUsed/>
    <w:rsid w:val="00EF4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433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9865445">
      <w:bodyDiv w:val="1"/>
      <w:marLeft w:val="0"/>
      <w:marRight w:val="0"/>
      <w:marTop w:val="0"/>
      <w:marBottom w:val="0"/>
      <w:divBdr>
        <w:top w:val="none" w:sz="0" w:space="0" w:color="auto"/>
        <w:left w:val="none" w:sz="0" w:space="0" w:color="auto"/>
        <w:bottom w:val="none" w:sz="0" w:space="0" w:color="auto"/>
        <w:right w:val="none" w:sz="0" w:space="0" w:color="auto"/>
      </w:divBdr>
      <w:divsChild>
        <w:div w:id="1432821832">
          <w:marLeft w:val="0"/>
          <w:marRight w:val="0"/>
          <w:marTop w:val="0"/>
          <w:marBottom w:val="0"/>
          <w:divBdr>
            <w:top w:val="none" w:sz="0" w:space="0" w:color="auto"/>
            <w:left w:val="none" w:sz="0" w:space="0" w:color="auto"/>
            <w:bottom w:val="none" w:sz="0" w:space="0" w:color="auto"/>
            <w:right w:val="none" w:sz="0" w:space="0" w:color="auto"/>
          </w:divBdr>
          <w:divsChild>
            <w:div w:id="1298225264">
              <w:marLeft w:val="0"/>
              <w:marRight w:val="0"/>
              <w:marTop w:val="0"/>
              <w:marBottom w:val="0"/>
              <w:divBdr>
                <w:top w:val="none" w:sz="0" w:space="0" w:color="auto"/>
                <w:left w:val="none" w:sz="0" w:space="0" w:color="auto"/>
                <w:bottom w:val="none" w:sz="0" w:space="0" w:color="auto"/>
                <w:right w:val="none" w:sz="0" w:space="0" w:color="auto"/>
              </w:divBdr>
              <w:divsChild>
                <w:div w:id="1016465147">
                  <w:marLeft w:val="0"/>
                  <w:marRight w:val="0"/>
                  <w:marTop w:val="0"/>
                  <w:marBottom w:val="0"/>
                  <w:divBdr>
                    <w:top w:val="none" w:sz="0" w:space="0" w:color="auto"/>
                    <w:left w:val="none" w:sz="0" w:space="0" w:color="auto"/>
                    <w:bottom w:val="none" w:sz="0" w:space="0" w:color="auto"/>
                    <w:right w:val="none" w:sz="0" w:space="0" w:color="auto"/>
                  </w:divBdr>
                  <w:divsChild>
                    <w:div w:id="100250932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99248">
      <w:bodyDiv w:val="1"/>
      <w:marLeft w:val="0"/>
      <w:marRight w:val="0"/>
      <w:marTop w:val="0"/>
      <w:marBottom w:val="0"/>
      <w:divBdr>
        <w:top w:val="none" w:sz="0" w:space="0" w:color="auto"/>
        <w:left w:val="none" w:sz="0" w:space="0" w:color="auto"/>
        <w:bottom w:val="none" w:sz="0" w:space="0" w:color="auto"/>
        <w:right w:val="none" w:sz="0" w:space="0" w:color="auto"/>
      </w:divBdr>
      <w:divsChild>
        <w:div w:id="1029257100">
          <w:marLeft w:val="0"/>
          <w:marRight w:val="0"/>
          <w:marTop w:val="0"/>
          <w:marBottom w:val="0"/>
          <w:divBdr>
            <w:top w:val="none" w:sz="0" w:space="0" w:color="auto"/>
            <w:left w:val="none" w:sz="0" w:space="0" w:color="auto"/>
            <w:bottom w:val="none" w:sz="0" w:space="0" w:color="auto"/>
            <w:right w:val="none" w:sz="0" w:space="0" w:color="auto"/>
          </w:divBdr>
          <w:divsChild>
            <w:div w:id="330183518">
              <w:marLeft w:val="0"/>
              <w:marRight w:val="0"/>
              <w:marTop w:val="0"/>
              <w:marBottom w:val="0"/>
              <w:divBdr>
                <w:top w:val="none" w:sz="0" w:space="0" w:color="auto"/>
                <w:left w:val="none" w:sz="0" w:space="0" w:color="auto"/>
                <w:bottom w:val="none" w:sz="0" w:space="0" w:color="auto"/>
                <w:right w:val="none" w:sz="0" w:space="0" w:color="auto"/>
              </w:divBdr>
              <w:divsChild>
                <w:div w:id="253055746">
                  <w:marLeft w:val="0"/>
                  <w:marRight w:val="0"/>
                  <w:marTop w:val="0"/>
                  <w:marBottom w:val="0"/>
                  <w:divBdr>
                    <w:top w:val="none" w:sz="0" w:space="0" w:color="auto"/>
                    <w:left w:val="none" w:sz="0" w:space="0" w:color="auto"/>
                    <w:bottom w:val="none" w:sz="0" w:space="0" w:color="auto"/>
                    <w:right w:val="none" w:sz="0" w:space="0" w:color="auto"/>
                  </w:divBdr>
                  <w:divsChild>
                    <w:div w:id="36956976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23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80917539">
          <w:marLeft w:val="2475"/>
          <w:marRight w:val="0"/>
          <w:marTop w:val="0"/>
          <w:marBottom w:val="0"/>
          <w:divBdr>
            <w:top w:val="none" w:sz="0" w:space="0" w:color="auto"/>
            <w:left w:val="single" w:sz="6" w:space="15"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33</cp:revision>
  <dcterms:created xsi:type="dcterms:W3CDTF">2010-11-08T17:11:00Z</dcterms:created>
  <dcterms:modified xsi:type="dcterms:W3CDTF">2010-11-09T07:44:00Z</dcterms:modified>
</cp:coreProperties>
</file>