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1069EFE" w14:textId="24C94027" w:rsidR="00126E3C" w:rsidRPr="005C2300" w:rsidRDefault="005C2300" w:rsidP="005C2300">
      <w:pPr>
        <w:spacing w:line="480" w:lineRule="auto"/>
        <w:jc w:val="center"/>
        <w:rPr>
          <w:sz w:val="32"/>
          <w:szCs w:val="32"/>
        </w:rPr>
      </w:pPr>
      <w:r w:rsidRPr="005C2300">
        <w:rPr>
          <w:sz w:val="32"/>
          <w:szCs w:val="32"/>
        </w:rPr>
        <w:t>The President’s House</w:t>
      </w:r>
    </w:p>
    <w:p w14:paraId="3CAFA821" w14:textId="408D4B23" w:rsidR="005C2300" w:rsidRDefault="005C2300" w:rsidP="005C2300">
      <w:pPr>
        <w:spacing w:line="480" w:lineRule="auto"/>
        <w:jc w:val="center"/>
      </w:pPr>
      <w:r>
        <w:t>Christopher Thompson</w:t>
      </w:r>
    </w:p>
    <w:p w14:paraId="5DF35C67" w14:textId="77777777" w:rsidR="00126E3C" w:rsidRDefault="00126E3C" w:rsidP="00725EAA">
      <w:pPr>
        <w:spacing w:line="480" w:lineRule="auto"/>
      </w:pPr>
      <w:r>
        <w:tab/>
      </w:r>
    </w:p>
    <w:p w14:paraId="385D94C8" w14:textId="0BBC460E" w:rsidR="0021316A" w:rsidRDefault="00126E3C" w:rsidP="00725EAA">
      <w:pPr>
        <w:spacing w:line="480" w:lineRule="auto"/>
      </w:pPr>
      <w:r>
        <w:tab/>
      </w:r>
      <w:r w:rsidR="000D44B4">
        <w:t xml:space="preserve">The Old President’s House is of great archaeological importance to </w:t>
      </w:r>
      <w:r w:rsidR="0021316A">
        <w:t>Brown</w:t>
      </w:r>
      <w:r w:rsidR="000D44B4">
        <w:t xml:space="preserve"> University.</w:t>
      </w:r>
      <w:r w:rsidR="008B1A5B">
        <w:t xml:space="preserve"> Built alongside University Hall, it plays quiet brother to </w:t>
      </w:r>
      <w:r w:rsidR="004C31E8">
        <w:t xml:space="preserve">its academic neighbor in memory and documentation. However, </w:t>
      </w:r>
      <w:r w:rsidR="0021316A">
        <w:t>h</w:t>
      </w:r>
      <w:r w:rsidR="004C31E8">
        <w:t>ome of the first four presidents</w:t>
      </w:r>
      <w:r w:rsidR="0021316A">
        <w:t xml:space="preserve"> of the University</w:t>
      </w:r>
      <w:r w:rsidR="00EE106D">
        <w:t xml:space="preserve"> (Encyclopedia Brunonia</w:t>
      </w:r>
      <w:r w:rsidR="005C2300">
        <w:t xml:space="preserve"> 1993:President’s House</w:t>
      </w:r>
      <w:r w:rsidR="00EE106D">
        <w:t>) this</w:t>
      </w:r>
      <w:r w:rsidR="0021316A">
        <w:t xml:space="preserve"> house hosted and fed the men that sighted t</w:t>
      </w:r>
      <w:r w:rsidR="00823D2A">
        <w:t xml:space="preserve">he trajectory of the University. </w:t>
      </w:r>
      <w:r w:rsidR="0021316A">
        <w:t xml:space="preserve">The excavation of pottery, cutlery, and other small things, would offer Brown University students, faculty, and visitors a glimpse into the more personal narratives of that large brick building we know as University Hall. </w:t>
      </w:r>
    </w:p>
    <w:p w14:paraId="304C2BC0" w14:textId="54A173D8" w:rsidR="004D18AC" w:rsidRDefault="0021316A" w:rsidP="00FB317F">
      <w:pPr>
        <w:spacing w:line="480" w:lineRule="auto"/>
      </w:pPr>
      <w:r>
        <w:tab/>
        <w:t>Furthermore, archaeological excav</w:t>
      </w:r>
      <w:r w:rsidR="00823D2A">
        <w:t>ation of the foundation of the old President’s h</w:t>
      </w:r>
      <w:r>
        <w:t xml:space="preserve">ouse would offer an interesting companion to our knowledge of the construction of University Hall. </w:t>
      </w:r>
      <w:r w:rsidR="00795B13">
        <w:t>Records of the expenses for the construction of the two buildings were kept together and pose questions</w:t>
      </w:r>
      <w:r w:rsidR="004D18AC">
        <w:t xml:space="preserve"> (Guild 1938:153)</w:t>
      </w:r>
      <w:r w:rsidR="00795B13">
        <w:t xml:space="preserve">: Were they built simultaneously? Did separate construction crews work on each? Does the foundation of University Hall show characteristic similarities to that of </w:t>
      </w:r>
      <w:r w:rsidR="004D18AC">
        <w:t xml:space="preserve">the President’s House? </w:t>
      </w:r>
      <w:r w:rsidR="00795B13">
        <w:t xml:space="preserve"> </w:t>
      </w:r>
      <w:r w:rsidR="004D18AC">
        <w:t>The expense report lists Powder</w:t>
      </w:r>
      <w:r w:rsidR="009D02FA">
        <w:t xml:space="preserve"> purchased for “blowing rocks”</w:t>
      </w:r>
      <w:r w:rsidR="004D18AC">
        <w:t xml:space="preserve"> – what geographic features might this have been used for</w:t>
      </w:r>
      <w:r w:rsidR="009D02FA">
        <w:t xml:space="preserve"> (</w:t>
      </w:r>
      <w:r w:rsidR="005C2300">
        <w:t>Cooke 1771:image 4</w:t>
      </w:r>
      <w:r w:rsidR="009D02FA">
        <w:t>)</w:t>
      </w:r>
      <w:r w:rsidR="004D18AC">
        <w:t xml:space="preserve">? </w:t>
      </w:r>
    </w:p>
    <w:p w14:paraId="331117E6" w14:textId="3454018D" w:rsidR="00010B32" w:rsidRDefault="00EE106D" w:rsidP="00FB317F">
      <w:pPr>
        <w:spacing w:line="480" w:lineRule="auto"/>
      </w:pPr>
      <w:r>
        <w:tab/>
        <w:t>The specific location of the o</w:t>
      </w:r>
      <w:r w:rsidR="004D18AC">
        <w:t xml:space="preserve">ld President’s House is necessary for excavation. </w:t>
      </w:r>
      <w:r w:rsidR="00897AD4">
        <w:t>The President’s house was two and a half stories and was referred to loosely as being northwest of University Hall</w:t>
      </w:r>
      <w:r w:rsidR="007165C5">
        <w:t xml:space="preserve"> (</w:t>
      </w:r>
      <w:r w:rsidR="006025B0">
        <w:t>Bronson 1938:57)</w:t>
      </w:r>
      <w:r w:rsidR="00010B32">
        <w:t>. It was</w:t>
      </w:r>
      <w:r w:rsidR="006025B0">
        <w:t xml:space="preserve"> buffeted by stonewalls to the north and west (</w:t>
      </w:r>
      <w:r w:rsidR="00554C34">
        <w:t>Guild 1864:157</w:t>
      </w:r>
      <w:r w:rsidR="006025B0">
        <w:t>),</w:t>
      </w:r>
      <w:r w:rsidR="00010B32">
        <w:t xml:space="preserve"> and gardens that stretched all the way to w</w:t>
      </w:r>
      <w:r w:rsidR="006025B0">
        <w:t>hat is now Hope Street to the ea</w:t>
      </w:r>
      <w:r w:rsidR="00010B32">
        <w:t>st</w:t>
      </w:r>
      <w:r w:rsidR="006025B0">
        <w:t xml:space="preserve"> </w:t>
      </w:r>
      <w:r w:rsidR="00010B32">
        <w:t>(</w:t>
      </w:r>
      <w:r w:rsidR="006025B0">
        <w:t>Bronson 1914:5</w:t>
      </w:r>
      <w:r w:rsidR="00010B32">
        <w:t xml:space="preserve">). </w:t>
      </w:r>
      <w:r w:rsidR="0092345F">
        <w:t xml:space="preserve">Brooks criss-crossed this section of College Hill, </w:t>
      </w:r>
      <w:r w:rsidR="0092345F">
        <w:lastRenderedPageBreak/>
        <w:t>an</w:t>
      </w:r>
      <w:r>
        <w:t xml:space="preserve">d </w:t>
      </w:r>
      <w:r w:rsidR="00AC1C00">
        <w:t xml:space="preserve">played a role in the pronged </w:t>
      </w:r>
      <w:r>
        <w:t>property</w:t>
      </w:r>
      <w:r w:rsidR="00AC1C00">
        <w:t xml:space="preserve"> of the University</w:t>
      </w:r>
      <w:r>
        <w:t xml:space="preserve"> in 1770, which </w:t>
      </w:r>
      <w:r w:rsidR="00554C34">
        <w:t>shot-out</w:t>
      </w:r>
      <w:r>
        <w:t xml:space="preserve"> in 12 foot wide prongs on both the east and west sides of the pro</w:t>
      </w:r>
      <w:r w:rsidR="00554C34">
        <w:t>perty to encompass brooks</w:t>
      </w:r>
      <w:r w:rsidR="00AC1C00">
        <w:t xml:space="preserve"> </w:t>
      </w:r>
      <w:r>
        <w:t>(Burlingame 1938:6</w:t>
      </w:r>
      <w:r w:rsidR="00AC1C00">
        <w:t>)</w:t>
      </w:r>
      <w:r w:rsidR="00010B32">
        <w:t>.</w:t>
      </w:r>
      <w:r w:rsidR="0092345F">
        <w:t xml:space="preserve"> In 1840 the President’s House was moved to College Street, where it was eventually demolished to make way for Rhode Island School of Design buildings</w:t>
      </w:r>
      <w:r w:rsidR="00010B32">
        <w:t xml:space="preserve">. </w:t>
      </w:r>
      <w:r w:rsidR="006025B0">
        <w:t>(</w:t>
      </w:r>
      <w:r w:rsidR="00AC1C00">
        <w:t>Burlingame 1938:7</w:t>
      </w:r>
      <w:r w:rsidR="006025B0">
        <w:t>)</w:t>
      </w:r>
    </w:p>
    <w:p w14:paraId="31CEAE0B" w14:textId="272ED637" w:rsidR="00010B32" w:rsidRPr="00FB317F" w:rsidRDefault="00010B32" w:rsidP="00FB317F">
      <w:pPr>
        <w:spacing w:line="480" w:lineRule="auto"/>
        <w:rPr>
          <w:rFonts w:ascii="Times" w:eastAsia="Times New Roman" w:hAnsi="Times" w:cs="Times New Roman"/>
          <w:sz w:val="20"/>
          <w:szCs w:val="20"/>
        </w:rPr>
      </w:pPr>
      <w:r>
        <w:tab/>
        <w:t>Identifying the specific</w:t>
      </w:r>
      <w:r w:rsidR="00EE106D">
        <w:t xml:space="preserve"> and original</w:t>
      </w:r>
      <w:r>
        <w:t xml:space="preserve"> location of the President’s house (and whatever may be left of it) is necessary for t</w:t>
      </w:r>
      <w:r w:rsidR="00653980">
        <w:t>his excavation. A plaque near Carrie Tower commemorates the President’s House as standing</w:t>
      </w:r>
      <w:r w:rsidR="005C2300">
        <w:t>,</w:t>
      </w:r>
      <w:r w:rsidR="00653980">
        <w:t xml:space="preserve"> “</w:t>
      </w:r>
      <w:r w:rsidR="005C2300">
        <w:t>Near this location was the first official residence of the President of Brown University from 1770 – 1880.”</w:t>
      </w:r>
      <w:r w:rsidR="00EE106D">
        <w:t xml:space="preserve"> </w:t>
      </w:r>
      <w:r w:rsidR="00653980">
        <w:t xml:space="preserve">This </w:t>
      </w:r>
      <w:r w:rsidR="006025B0">
        <w:t xml:space="preserve">is the northwest </w:t>
      </w:r>
      <w:r w:rsidR="00653980">
        <w:t xml:space="preserve">corner of the quiet green </w:t>
      </w:r>
      <w:r w:rsidR="006025B0">
        <w:t xml:space="preserve">and so </w:t>
      </w:r>
      <w:r w:rsidR="00653980">
        <w:t xml:space="preserve">satisfies the </w:t>
      </w:r>
      <w:r w:rsidR="006025B0">
        <w:t>account that it stood</w:t>
      </w:r>
      <w:r w:rsidR="00653980">
        <w:t xml:space="preserve"> northwest of the College Edifice. </w:t>
      </w:r>
      <w:r w:rsidR="00EE106D">
        <w:t>This placement seems to correspond to an engraving titled, “</w:t>
      </w:r>
      <w:r w:rsidR="00FB317F" w:rsidRPr="00FB317F">
        <w:rPr>
          <w:rFonts w:ascii="Georgia" w:eastAsia="Times New Roman" w:hAnsi="Georgia" w:cs="Times New Roman"/>
          <w:color w:val="3B2927"/>
          <w:sz w:val="23"/>
          <w:szCs w:val="23"/>
          <w:shd w:val="clear" w:color="auto" w:fill="FFFFFF"/>
        </w:rPr>
        <w:t>A S.W. View of the COLLEGE in Providence, together with the PRESIDENT'S HOUSE &amp; GARDENS</w:t>
      </w:r>
      <w:r w:rsidR="004261A2">
        <w:t>”</w:t>
      </w:r>
      <w:r w:rsidR="00FB317F">
        <w:t xml:space="preserve"> which is </w:t>
      </w:r>
      <w:r w:rsidR="00CC5949">
        <w:t xml:space="preserve">dates </w:t>
      </w:r>
      <w:r w:rsidR="00FB317F">
        <w:t>from around 1795 (</w:t>
      </w:r>
      <w:r w:rsidR="009D02FA">
        <w:t>Emien</w:t>
      </w:r>
      <w:r w:rsidR="00CC5949">
        <w:t xml:space="preserve"> 2012</w:t>
      </w:r>
      <w:r w:rsidR="00FB317F">
        <w:t xml:space="preserve">). In this engraving </w:t>
      </w:r>
      <w:r w:rsidR="004261A2">
        <w:t>the President’s house appears a distance northwest from University Hall.</w:t>
      </w:r>
      <w:r w:rsidR="00FB317F">
        <w:t xml:space="preserve"> </w:t>
      </w:r>
      <w:r w:rsidR="004261A2">
        <w:t xml:space="preserve"> If the foundations of the house lie in this area, questions must be asked: </w:t>
      </w:r>
      <w:r w:rsidR="00653980">
        <w:t xml:space="preserve">did the construction of Carrie Tower and the tunnel running </w:t>
      </w:r>
      <w:r w:rsidR="006025B0">
        <w:t>from</w:t>
      </w:r>
      <w:r w:rsidR="00653980">
        <w:t xml:space="preserve"> it</w:t>
      </w:r>
      <w:r w:rsidR="006025B0">
        <w:t xml:space="preserve"> to</w:t>
      </w:r>
      <w:r w:rsidR="00653980">
        <w:t xml:space="preserve"> the John Hay library possibly disrupt the </w:t>
      </w:r>
      <w:r w:rsidR="006025B0">
        <w:t>foundation and earth on which the house stood</w:t>
      </w:r>
      <w:r w:rsidR="00653980">
        <w:t xml:space="preserve">? Could the foundation lie under Prospect or College </w:t>
      </w:r>
      <w:r w:rsidR="00AF62BD">
        <w:t>Street, which</w:t>
      </w:r>
      <w:r w:rsidR="00653980">
        <w:t xml:space="preserve"> intersect only a few feet from the plaque?</w:t>
      </w:r>
    </w:p>
    <w:p w14:paraId="5BFE2A72" w14:textId="16A84A69" w:rsidR="00FB317F" w:rsidRDefault="00653980" w:rsidP="00FB317F">
      <w:pPr>
        <w:spacing w:line="480" w:lineRule="auto"/>
      </w:pPr>
      <w:r>
        <w:tab/>
        <w:t>However, according the Plats of Brown University, thi</w:t>
      </w:r>
      <w:r w:rsidR="00FB317F">
        <w:t>s plaque is off by half of the G</w:t>
      </w:r>
      <w:r>
        <w:t>reen. A scaled, although denuded, map of University Holdings in 1770 indicate that the President’s house stood</w:t>
      </w:r>
      <w:r w:rsidR="009E23DB">
        <w:t xml:space="preserve"> approximately</w:t>
      </w:r>
      <w:r>
        <w:t xml:space="preserve"> </w:t>
      </w:r>
      <w:r w:rsidR="00FB317F">
        <w:t>113</w:t>
      </w:r>
      <w:r>
        <w:t xml:space="preserve"> feet west and </w:t>
      </w:r>
      <w:r w:rsidR="00FB317F">
        <w:t xml:space="preserve">50 feet north </w:t>
      </w:r>
      <w:r>
        <w:t>f</w:t>
      </w:r>
      <w:r w:rsidR="00FB317F">
        <w:t>rom the northwest corner of</w:t>
      </w:r>
      <w:r>
        <w:t xml:space="preserve"> University hall</w:t>
      </w:r>
      <w:r w:rsidR="00CC5949">
        <w:t xml:space="preserve"> (</w:t>
      </w:r>
      <w:r w:rsidR="00725EAA">
        <w:t>Burlingame 1938:College Holdings 1770</w:t>
      </w:r>
      <w:r w:rsidR="006025B0">
        <w:t>)</w:t>
      </w:r>
      <w:r>
        <w:t>.</w:t>
      </w:r>
      <w:r w:rsidR="004261A2">
        <w:t xml:space="preserve"> </w:t>
      </w:r>
      <w:r w:rsidR="00FB317F">
        <w:t xml:space="preserve">This is tens of feet farther south than the location of the plaque. </w:t>
      </w:r>
      <w:r w:rsidR="000E7202">
        <w:t>The map indicates a well standing a few feet south east of the President’s house. This well co</w:t>
      </w:r>
      <w:r w:rsidR="006025B0">
        <w:t>uld act as an important feature;</w:t>
      </w:r>
      <w:r w:rsidR="000E7202">
        <w:t xml:space="preserve"> the remnants of this well may still be buried and offer a reference point </w:t>
      </w:r>
      <w:r w:rsidR="006025B0">
        <w:t>from which to narrow the area of possibility.</w:t>
      </w:r>
      <w:r w:rsidR="000E7202">
        <w:t xml:space="preserve"> </w:t>
      </w:r>
      <w:r w:rsidR="004822CD">
        <w:t xml:space="preserve">However, University curator, Robert P. Emien discusses the president’s well existing west of the house, which conflicts with the Plat’s depiction of the well being near the southeastern corner of the house. Emien also refers to a family privy behind the house.  </w:t>
      </w:r>
    </w:p>
    <w:p w14:paraId="23415A39" w14:textId="493817FD" w:rsidR="009E23DB" w:rsidRDefault="00AC7B9B" w:rsidP="00FB317F">
      <w:pPr>
        <w:spacing w:line="480" w:lineRule="auto"/>
      </w:pPr>
      <w:r>
        <w:tab/>
        <w:t>The accuracy of this plat</w:t>
      </w:r>
      <w:r w:rsidR="004822CD">
        <w:t xml:space="preserve"> from the collection, “Plats of Brown University”</w:t>
      </w:r>
      <w:r>
        <w:t xml:space="preserve"> must be considered – the placement of the buildings</w:t>
      </w:r>
      <w:r w:rsidR="004261A2">
        <w:t xml:space="preserve"> on the plat may be</w:t>
      </w:r>
      <w:r>
        <w:t xml:space="preserve"> inaccurate.</w:t>
      </w:r>
      <w:r w:rsidR="009E23DB">
        <w:t xml:space="preserve"> T</w:t>
      </w:r>
      <w:r>
        <w:t xml:space="preserve">he orientation of standing University Hall could be compared to the one presented in the map. If they </w:t>
      </w:r>
      <w:r w:rsidR="004261A2">
        <w:t>correspond closely</w:t>
      </w:r>
      <w:r>
        <w:t xml:space="preserve"> than a degree of confidence is </w:t>
      </w:r>
      <w:r w:rsidR="009E23DB">
        <w:t>understood</w:t>
      </w:r>
      <w:r>
        <w:t xml:space="preserve">. </w:t>
      </w:r>
      <w:r w:rsidR="00FB317F">
        <w:t xml:space="preserve">The </w:t>
      </w:r>
      <w:r w:rsidR="009542B3">
        <w:t>f</w:t>
      </w:r>
      <w:r w:rsidR="004261A2">
        <w:t>orward</w:t>
      </w:r>
      <w:r w:rsidR="00FB317F">
        <w:t xml:space="preserve"> of “Plats of Brown University”</w:t>
      </w:r>
      <w:r w:rsidR="004261A2">
        <w:t xml:space="preserve"> claims that the plat</w:t>
      </w:r>
      <w:r w:rsidR="00FB317F">
        <w:t>s</w:t>
      </w:r>
      <w:r w:rsidR="004261A2">
        <w:t xml:space="preserve">, while drawn in 1938, </w:t>
      </w:r>
      <w:r w:rsidR="00FB317F">
        <w:t>are</w:t>
      </w:r>
      <w:r w:rsidR="004261A2">
        <w:t xml:space="preserve"> taken directly from original deeds and titles of the property.</w:t>
      </w:r>
    </w:p>
    <w:p w14:paraId="61B36608" w14:textId="5A76D574" w:rsidR="00653980" w:rsidRDefault="009E23DB" w:rsidP="00FB317F">
      <w:pPr>
        <w:spacing w:line="480" w:lineRule="auto"/>
      </w:pPr>
      <w:r>
        <w:tab/>
      </w:r>
      <w:r w:rsidR="00AC7B9B">
        <w:t xml:space="preserve">It is important to note that the actual land holdings of the University </w:t>
      </w:r>
      <w:r w:rsidR="004261A2">
        <w:t>in 1770, delimited</w:t>
      </w:r>
      <w:r w:rsidR="00AC7B9B">
        <w:t xml:space="preserve"> by this plat do not include </w:t>
      </w:r>
      <w:r w:rsidR="009542B3">
        <w:t>the northern strip of what is now the Quiet Green.</w:t>
      </w:r>
      <w:r w:rsidR="00AC7B9B">
        <w:t xml:space="preserve"> According </w:t>
      </w:r>
      <w:r w:rsidR="00FE387A">
        <w:t xml:space="preserve">to this </w:t>
      </w:r>
      <w:r w:rsidR="00FB317F">
        <w:t>collection of plats,</w:t>
      </w:r>
      <w:r w:rsidR="00FE387A">
        <w:t xml:space="preserve"> </w:t>
      </w:r>
      <w:r w:rsidR="009542B3">
        <w:t>this strip of land did not come into University possession until 1822</w:t>
      </w:r>
      <w:r w:rsidR="00FB317F">
        <w:t xml:space="preserve"> with the construction of Hope College</w:t>
      </w:r>
      <w:r w:rsidR="009542B3">
        <w:t xml:space="preserve"> </w:t>
      </w:r>
      <w:r>
        <w:t>(</w:t>
      </w:r>
      <w:r w:rsidR="00725EAA">
        <w:t>Burlingame 1938:College Holdings 1770</w:t>
      </w:r>
      <w:r>
        <w:t>)</w:t>
      </w:r>
      <w:r w:rsidR="009542B3">
        <w:t>.</w:t>
      </w:r>
      <w:r w:rsidR="00FE387A">
        <w:t xml:space="preserve"> </w:t>
      </w:r>
      <w:r w:rsidR="00FB317F">
        <w:t>Until then, 125 feet lay between the edge of the University property a</w:t>
      </w:r>
      <w:r w:rsidR="004822CD">
        <w:t>nd what is now Waterman Street. This further discourages the idea that the old president’s house stood in what is now the northwest corner of the quiet green.</w:t>
      </w:r>
    </w:p>
    <w:p w14:paraId="3A5E3246" w14:textId="4ADCCC14" w:rsidR="00FE387A" w:rsidRDefault="00FE387A" w:rsidP="00FB317F">
      <w:pPr>
        <w:spacing w:line="480" w:lineRule="auto"/>
      </w:pPr>
      <w:r>
        <w:tab/>
      </w:r>
      <w:r w:rsidR="004822CD">
        <w:t xml:space="preserve">The location of Manning Hall in relation to location of the President’s house identified by the plat presents an interesting orientation. </w:t>
      </w:r>
      <w:r>
        <w:t>Since campus was centered on what is now the Quiet Green, the buildings faced westward.</w:t>
      </w:r>
      <w:r w:rsidR="009542B3">
        <w:t xml:space="preserve"> This meant </w:t>
      </w:r>
      <w:r w:rsidR="004822CD">
        <w:t>that</w:t>
      </w:r>
      <w:r>
        <w:t xml:space="preserve"> Manni</w:t>
      </w:r>
      <w:r w:rsidR="00AF62BD">
        <w:t>ng hall, built in 1834</w:t>
      </w:r>
      <w:r>
        <w:t>,</w:t>
      </w:r>
      <w:r w:rsidR="004822CD">
        <w:t xml:space="preserve"> </w:t>
      </w:r>
      <w:r>
        <w:t xml:space="preserve">would have faced </w:t>
      </w:r>
      <w:r w:rsidR="009E23DB">
        <w:t xml:space="preserve">directly </w:t>
      </w:r>
      <w:r w:rsidR="004822CD">
        <w:t>toward</w:t>
      </w:r>
      <w:r>
        <w:t xml:space="preserve"> the President’s House</w:t>
      </w:r>
      <w:r w:rsidR="009542B3">
        <w:t xml:space="preserve"> between 1834 and 1840 when both buildings stood on the green (Encyclopedia Brunonia 1993</w:t>
      </w:r>
      <w:r w:rsidR="005C2300">
        <w:t>:Manning Hall</w:t>
      </w:r>
      <w:r w:rsidR="009542B3">
        <w:t>). This is striking, because according to the plat, there are only twenty-five feet between the front of Manning Hall and the President’s house. This</w:t>
      </w:r>
      <w:r w:rsidR="00AF62BD">
        <w:t xml:space="preserve"> close proximity seems inconvenient</w:t>
      </w:r>
      <w:r w:rsidR="009E23DB">
        <w:t>, especially given the</w:t>
      </w:r>
      <w:r w:rsidR="008B1A5B">
        <w:t xml:space="preserve"> land holdings of the University that lay east of the College Edifice</w:t>
      </w:r>
      <w:r w:rsidR="004822CD">
        <w:t xml:space="preserve"> (Burlingame 1938</w:t>
      </w:r>
      <w:r w:rsidR="009542B3">
        <w:t>:College Holdings 1770</w:t>
      </w:r>
      <w:r w:rsidR="004822CD">
        <w:t>)</w:t>
      </w:r>
      <w:r w:rsidR="008B1A5B">
        <w:t>. Only</w:t>
      </w:r>
      <w:r w:rsidR="009E23DB">
        <w:t xml:space="preserve"> </w:t>
      </w:r>
      <w:r w:rsidR="008B1A5B">
        <w:t>s</w:t>
      </w:r>
      <w:r w:rsidR="00AF62BD">
        <w:t>ix years af</w:t>
      </w:r>
      <w:r w:rsidR="008B1A5B">
        <w:t xml:space="preserve">ter the construction of Manning </w:t>
      </w:r>
      <w:r w:rsidR="00725EAA">
        <w:t xml:space="preserve">Hall </w:t>
      </w:r>
      <w:r w:rsidR="008B1A5B">
        <w:t>in 1840</w:t>
      </w:r>
      <w:r w:rsidR="00AF62BD">
        <w:t xml:space="preserve"> t</w:t>
      </w:r>
      <w:r w:rsidR="008B1A5B">
        <w:t xml:space="preserve">he President’s house was moved, possibly done so as a result of this strange orientation. This move may have been planned with the construction of Manning and only carried through when funds were established, </w:t>
      </w:r>
      <w:r w:rsidR="00CC5949">
        <w:t>(it may have depended on the final donation by</w:t>
      </w:r>
      <w:r w:rsidR="008B1A5B">
        <w:t xml:space="preserve"> </w:t>
      </w:r>
      <w:r w:rsidR="004822CD">
        <w:t xml:space="preserve">Nicholas Brown </w:t>
      </w:r>
      <w:r w:rsidR="00CC5949">
        <w:t>before his death)</w:t>
      </w:r>
      <w:r w:rsidR="008B1A5B">
        <w:t xml:space="preserve"> (Bronson 1914:225)</w:t>
      </w:r>
      <w:r w:rsidR="00CC5949">
        <w:t>.</w:t>
      </w:r>
      <w:r w:rsidR="008B1A5B">
        <w:t xml:space="preserve"> It is also important to note that at this time the University g</w:t>
      </w:r>
      <w:r w:rsidR="00CC5949">
        <w:t>rounds were “graded and adorned</w:t>
      </w:r>
      <w:r w:rsidR="008B1A5B">
        <w:t>” (Bronson 1914:224)</w:t>
      </w:r>
      <w:r w:rsidR="00CC5949">
        <w:t>.</w:t>
      </w:r>
    </w:p>
    <w:p w14:paraId="4ABB7A73" w14:textId="351CEEA6" w:rsidR="00897AD4" w:rsidRDefault="00010B32" w:rsidP="00FB317F">
      <w:pPr>
        <w:spacing w:line="480" w:lineRule="auto"/>
      </w:pPr>
      <w:r>
        <w:t xml:space="preserve"> </w:t>
      </w:r>
    </w:p>
    <w:p w14:paraId="357583D5" w14:textId="69EF62EA" w:rsidR="004C31E8" w:rsidRDefault="000D44B4" w:rsidP="00FB317F">
      <w:pPr>
        <w:spacing w:line="480" w:lineRule="auto"/>
      </w:pPr>
      <w:r>
        <w:tab/>
        <w:t>Further research must be done to locate original deeds, blueprints, or other property records that can specifically and confidentially locate the placement of the house</w:t>
      </w:r>
      <w:r w:rsidR="008B1A5B">
        <w:t>.</w:t>
      </w:r>
      <w:r w:rsidR="004C31E8">
        <w:t xml:space="preserve"> </w:t>
      </w:r>
      <w:r w:rsidR="00D91A3C">
        <w:t xml:space="preserve">The </w:t>
      </w:r>
      <w:r w:rsidR="004C31E8">
        <w:t xml:space="preserve">“Early History of Brown University” refers to the sixteenth page of the Record of Deeds, in which the purchase of the “northern half of the original College Premises” from Oliver Bowen by the Corporation is recorded (Guild 1864:138). This plot corresponds to the one outlined in </w:t>
      </w:r>
      <w:r>
        <w:t xml:space="preserve"> “Plats of Brown University</w:t>
      </w:r>
      <w:r w:rsidR="004C31E8">
        <w:t>,</w:t>
      </w:r>
      <w:r>
        <w:t>”</w:t>
      </w:r>
      <w:r w:rsidR="004C31E8">
        <w:t xml:space="preserve"> which shows “the original College Premises” </w:t>
      </w:r>
      <w:r w:rsidR="00CC5949">
        <w:t>as</w:t>
      </w:r>
      <w:r w:rsidR="004C31E8">
        <w:t xml:space="preserve"> two plots</w:t>
      </w:r>
      <w:r w:rsidR="00CC5949">
        <w:t xml:space="preserve"> whose respective northern and southern borders run along the other</w:t>
      </w:r>
      <w:r w:rsidR="004C31E8">
        <w:t>. A deed, blueprint, or other property record from the time of the President’s House, or just prior, should be compared to the plan offered by the plat and the accuracy investigated.</w:t>
      </w:r>
    </w:p>
    <w:p w14:paraId="15557183" w14:textId="41310215" w:rsidR="000D44B4" w:rsidRDefault="004C31E8" w:rsidP="00FB317F">
      <w:pPr>
        <w:spacing w:line="480" w:lineRule="auto"/>
      </w:pPr>
      <w:r>
        <w:tab/>
      </w:r>
      <w:r w:rsidR="000D44B4">
        <w:t xml:space="preserve"> </w:t>
      </w:r>
      <w:r w:rsidR="00897AD4">
        <w:t>Accounts of the 1840 move of the President’s h</w:t>
      </w:r>
      <w:r>
        <w:t>ouse detailing how it was done c</w:t>
      </w:r>
      <w:r w:rsidR="00897AD4">
        <w:t>ould offer important insights into what may be left in the Green now.</w:t>
      </w:r>
      <w:r w:rsidR="008B1A5B">
        <w:t xml:space="preserve"> If this </w:t>
      </w:r>
      <w:r>
        <w:t>were</w:t>
      </w:r>
      <w:r w:rsidR="008B1A5B">
        <w:t xml:space="preserve"> impossible to come by, a</w:t>
      </w:r>
      <w:r w:rsidR="00897AD4">
        <w:t xml:space="preserve">ccounts of common procedure of moving houses at this time </w:t>
      </w:r>
      <w:r w:rsidR="008B1A5B">
        <w:t>would offer general insights into what may be left in the ground.</w:t>
      </w:r>
      <w:r w:rsidR="00897AD4">
        <w:t xml:space="preserve"> </w:t>
      </w:r>
    </w:p>
    <w:p w14:paraId="1FB2A5F8" w14:textId="2395D158" w:rsidR="00725EAA" w:rsidRDefault="00897AD4" w:rsidP="00FB317F">
      <w:pPr>
        <w:spacing w:line="480" w:lineRule="auto"/>
      </w:pPr>
      <w:r>
        <w:tab/>
        <w:t>Modern CAD layouts from the Planning Office should also be examined, not just for the layout of large trees, pipelines, and sidewalks, but also the existence of a buried well that may be recorded, and corresponds to the well indicated i</w:t>
      </w:r>
      <w:r w:rsidR="00D91A3C">
        <w:t>n “Plats of Brown University</w:t>
      </w:r>
      <w:r w:rsidR="008B1A5B">
        <w:t>”</w:t>
      </w:r>
      <w:r w:rsidR="00D91A3C">
        <w:t xml:space="preserve"> or curator Robert P. Emien.</w:t>
      </w:r>
      <w:r w:rsidR="008B1A5B">
        <w:t xml:space="preserve"> </w:t>
      </w:r>
    </w:p>
    <w:p w14:paraId="458CE3ED" w14:textId="4AB9EF15" w:rsidR="00725EAA" w:rsidRDefault="00725EAA" w:rsidP="00FB317F">
      <w:pPr>
        <w:spacing w:line="480" w:lineRule="auto"/>
      </w:pPr>
      <w:r>
        <w:tab/>
        <w:t xml:space="preserve">The excavation of the original President’s house would illuminate the personal going-ons of the men who were there when the charter was signed, the seal designed, and land chosen. It would act as interesting commentary on our history of Presidents, especially considering the departure of Ruth Simmons and the stepping-up of Christina Paxson, </w:t>
      </w:r>
      <w:r w:rsidR="00126E3C">
        <w:t>as well as</w:t>
      </w:r>
      <w:r>
        <w:t xml:space="preserve"> the </w:t>
      </w:r>
      <w:r w:rsidR="005C2300">
        <w:t>not long off</w:t>
      </w:r>
      <w:r>
        <w:t xml:space="preserve"> 250</w:t>
      </w:r>
      <w:r w:rsidRPr="00725EAA">
        <w:rPr>
          <w:vertAlign w:val="superscript"/>
        </w:rPr>
        <w:t>th</w:t>
      </w:r>
      <w:r>
        <w:t xml:space="preserve"> anniversary of Brown University. Most importantly, I think this excavation would give more of a voice to the story of the building that in 1795 was proudly engraved next to University Hall.</w:t>
      </w:r>
    </w:p>
    <w:p w14:paraId="28DE5703" w14:textId="77777777" w:rsidR="00126E3C" w:rsidRDefault="00126E3C" w:rsidP="00FB317F">
      <w:pPr>
        <w:spacing w:line="480" w:lineRule="auto"/>
      </w:pPr>
    </w:p>
    <w:p w14:paraId="74BCE66D" w14:textId="77777777" w:rsidR="00126E3C" w:rsidRDefault="00126E3C" w:rsidP="00FB317F">
      <w:pPr>
        <w:spacing w:line="480" w:lineRule="auto"/>
      </w:pPr>
    </w:p>
    <w:p w14:paraId="0DE0E9B9" w14:textId="77777777" w:rsidR="00126E3C" w:rsidRDefault="00126E3C" w:rsidP="00FB317F">
      <w:pPr>
        <w:spacing w:line="480" w:lineRule="auto"/>
      </w:pPr>
    </w:p>
    <w:p w14:paraId="08731715" w14:textId="77777777" w:rsidR="00126E3C" w:rsidRDefault="00126E3C" w:rsidP="00FB317F">
      <w:pPr>
        <w:spacing w:line="480" w:lineRule="auto"/>
      </w:pPr>
    </w:p>
    <w:p w14:paraId="42492EEF" w14:textId="77777777" w:rsidR="00126E3C" w:rsidRDefault="00126E3C" w:rsidP="00FB317F">
      <w:pPr>
        <w:spacing w:line="480" w:lineRule="auto"/>
      </w:pPr>
    </w:p>
    <w:p w14:paraId="0C9A6A68" w14:textId="77777777" w:rsidR="00126E3C" w:rsidRDefault="00126E3C" w:rsidP="00FB317F">
      <w:pPr>
        <w:spacing w:line="480" w:lineRule="auto"/>
      </w:pPr>
    </w:p>
    <w:p w14:paraId="1AF0DA9F" w14:textId="77777777" w:rsidR="00126E3C" w:rsidRDefault="00126E3C" w:rsidP="00FB317F">
      <w:pPr>
        <w:spacing w:line="480" w:lineRule="auto"/>
      </w:pPr>
    </w:p>
    <w:p w14:paraId="24FFBA23" w14:textId="77777777" w:rsidR="00126E3C" w:rsidRDefault="00126E3C" w:rsidP="00FB317F">
      <w:pPr>
        <w:spacing w:line="480" w:lineRule="auto"/>
      </w:pPr>
    </w:p>
    <w:p w14:paraId="08BE443B" w14:textId="77777777" w:rsidR="00126E3C" w:rsidRDefault="00126E3C" w:rsidP="00FB317F">
      <w:pPr>
        <w:spacing w:line="480" w:lineRule="auto"/>
      </w:pPr>
    </w:p>
    <w:p w14:paraId="7C0378E0" w14:textId="77777777" w:rsidR="00126E3C" w:rsidRDefault="00126E3C" w:rsidP="00126E3C">
      <w:pPr>
        <w:jc w:val="center"/>
        <w:rPr>
          <w:rFonts w:ascii="Cambria" w:hAnsi="Cambria"/>
        </w:rPr>
      </w:pPr>
    </w:p>
    <w:p w14:paraId="2C411C04" w14:textId="77777777" w:rsidR="00126E3C" w:rsidRDefault="00126E3C" w:rsidP="00126E3C">
      <w:pPr>
        <w:jc w:val="center"/>
        <w:rPr>
          <w:rFonts w:ascii="Cambria" w:hAnsi="Cambria"/>
        </w:rPr>
      </w:pPr>
    </w:p>
    <w:p w14:paraId="58DC9BFE" w14:textId="1208F3BA" w:rsidR="00126E3C" w:rsidRDefault="00126E3C" w:rsidP="00126E3C">
      <w:pPr>
        <w:jc w:val="center"/>
        <w:rPr>
          <w:rFonts w:ascii="Cambria" w:hAnsi="Cambria"/>
        </w:rPr>
      </w:pPr>
      <w:r>
        <w:rPr>
          <w:rFonts w:ascii="Cambria" w:hAnsi="Cambria"/>
          <w:noProof/>
        </w:rPr>
        <w:drawing>
          <wp:inline distT="0" distB="0" distL="0" distR="0" wp14:anchorId="5FFF88FC" wp14:editId="36CA82CE">
            <wp:extent cx="5884545" cy="6688455"/>
            <wp:effectExtent l="0" t="0" r="8255" b="0"/>
            <wp:docPr id="1" name="Picture 1" descr="Macintosh HD:Users:ctopherthompson:Desktop:Screen Shot 2012-09-19 at 5.56.2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topherthompson:Desktop:Screen Shot 2012-09-19 at 5.56.26 PM.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84545" cy="6688455"/>
                    </a:xfrm>
                    <a:prstGeom prst="rect">
                      <a:avLst/>
                    </a:prstGeom>
                    <a:noFill/>
                    <a:ln>
                      <a:noFill/>
                    </a:ln>
                  </pic:spPr>
                </pic:pic>
              </a:graphicData>
            </a:graphic>
          </wp:inline>
        </w:drawing>
      </w:r>
    </w:p>
    <w:p w14:paraId="2259579C" w14:textId="77777777" w:rsidR="00126E3C" w:rsidRDefault="00126E3C" w:rsidP="00126E3C">
      <w:pPr>
        <w:jc w:val="center"/>
        <w:rPr>
          <w:rFonts w:ascii="Cambria" w:hAnsi="Cambria"/>
        </w:rPr>
      </w:pPr>
    </w:p>
    <w:p w14:paraId="5882CA92" w14:textId="3F1E28B2" w:rsidR="00126E3C" w:rsidRDefault="00126E3C" w:rsidP="00126E3C">
      <w:pPr>
        <w:jc w:val="center"/>
        <w:rPr>
          <w:rFonts w:ascii="Cambria" w:hAnsi="Cambria"/>
        </w:rPr>
      </w:pPr>
      <w:r>
        <w:rPr>
          <w:rFonts w:ascii="Cambria" w:hAnsi="Cambria"/>
        </w:rPr>
        <w:t>General area of old President’s house according to “Plats of Brown University”</w:t>
      </w:r>
    </w:p>
    <w:p w14:paraId="2CA22725" w14:textId="77777777" w:rsidR="00126E3C" w:rsidRDefault="00126E3C" w:rsidP="00126E3C">
      <w:pPr>
        <w:jc w:val="center"/>
        <w:rPr>
          <w:rFonts w:ascii="Cambria" w:hAnsi="Cambria"/>
        </w:rPr>
      </w:pPr>
    </w:p>
    <w:p w14:paraId="030C1B9F" w14:textId="77777777" w:rsidR="00126E3C" w:rsidRDefault="00126E3C" w:rsidP="00126E3C">
      <w:pPr>
        <w:jc w:val="center"/>
        <w:rPr>
          <w:rFonts w:ascii="Cambria" w:hAnsi="Cambria"/>
        </w:rPr>
      </w:pPr>
    </w:p>
    <w:p w14:paraId="028C45E8" w14:textId="77777777" w:rsidR="00126E3C" w:rsidRDefault="00126E3C" w:rsidP="00126E3C">
      <w:pPr>
        <w:jc w:val="center"/>
        <w:rPr>
          <w:rFonts w:ascii="Cambria" w:hAnsi="Cambria"/>
        </w:rPr>
      </w:pPr>
    </w:p>
    <w:p w14:paraId="5A629007" w14:textId="77777777" w:rsidR="00126E3C" w:rsidRDefault="00126E3C" w:rsidP="00126E3C">
      <w:pPr>
        <w:jc w:val="center"/>
        <w:rPr>
          <w:rFonts w:ascii="Cambria" w:hAnsi="Cambria"/>
        </w:rPr>
      </w:pPr>
    </w:p>
    <w:p w14:paraId="123C369B" w14:textId="77777777" w:rsidR="00126E3C" w:rsidRDefault="00126E3C" w:rsidP="00126E3C">
      <w:pPr>
        <w:jc w:val="center"/>
        <w:rPr>
          <w:rFonts w:ascii="Cambria" w:hAnsi="Cambria"/>
        </w:rPr>
      </w:pPr>
    </w:p>
    <w:p w14:paraId="2B0790E2" w14:textId="77777777" w:rsidR="00126E3C" w:rsidRDefault="00126E3C" w:rsidP="00126E3C">
      <w:pPr>
        <w:jc w:val="center"/>
        <w:rPr>
          <w:rFonts w:ascii="Cambria" w:hAnsi="Cambria"/>
        </w:rPr>
      </w:pPr>
    </w:p>
    <w:p w14:paraId="5C4DE6E5" w14:textId="208ED59C" w:rsidR="00126E3C" w:rsidRDefault="00126E3C" w:rsidP="00126E3C">
      <w:pPr>
        <w:jc w:val="center"/>
        <w:rPr>
          <w:rFonts w:ascii="Cambria" w:hAnsi="Cambria"/>
        </w:rPr>
      </w:pPr>
    </w:p>
    <w:p w14:paraId="339FD342" w14:textId="77777777" w:rsidR="00126E3C" w:rsidRDefault="00126E3C" w:rsidP="00126E3C">
      <w:pPr>
        <w:jc w:val="center"/>
        <w:rPr>
          <w:rFonts w:ascii="Cambria" w:hAnsi="Cambria"/>
        </w:rPr>
      </w:pPr>
    </w:p>
    <w:p w14:paraId="63C483B1" w14:textId="046D61AA" w:rsidR="00126E3C" w:rsidRDefault="00126E3C" w:rsidP="00126E3C">
      <w:pPr>
        <w:jc w:val="center"/>
        <w:rPr>
          <w:rFonts w:ascii="Cambria" w:hAnsi="Cambria"/>
        </w:rPr>
      </w:pPr>
      <w:r w:rsidRPr="00126E3C">
        <w:rPr>
          <w:rFonts w:ascii="Cambria" w:hAnsi="Cambria"/>
        </w:rPr>
        <w:drawing>
          <wp:inline distT="0" distB="0" distL="0" distR="0" wp14:anchorId="73485F71" wp14:editId="7FCB7DD2">
            <wp:extent cx="6231915" cy="4673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31915" cy="4673600"/>
                    </a:xfrm>
                    <a:prstGeom prst="rect">
                      <a:avLst/>
                    </a:prstGeom>
                    <a:noFill/>
                    <a:ln>
                      <a:noFill/>
                    </a:ln>
                  </pic:spPr>
                </pic:pic>
              </a:graphicData>
            </a:graphic>
          </wp:inline>
        </w:drawing>
      </w:r>
    </w:p>
    <w:p w14:paraId="04FD018F" w14:textId="5578554E" w:rsidR="00126E3C" w:rsidRDefault="00126E3C" w:rsidP="00126E3C">
      <w:pPr>
        <w:jc w:val="center"/>
        <w:rPr>
          <w:rFonts w:ascii="Cambria" w:hAnsi="Cambria"/>
        </w:rPr>
      </w:pPr>
    </w:p>
    <w:p w14:paraId="79317FC5" w14:textId="77777777" w:rsidR="00126E3C" w:rsidRDefault="00126E3C" w:rsidP="00126E3C">
      <w:pPr>
        <w:jc w:val="center"/>
        <w:rPr>
          <w:rFonts w:ascii="Cambria" w:hAnsi="Cambria"/>
        </w:rPr>
      </w:pPr>
    </w:p>
    <w:p w14:paraId="7AFFAAF0" w14:textId="4459D0FE" w:rsidR="00126E3C" w:rsidRDefault="00126E3C" w:rsidP="00126E3C">
      <w:pPr>
        <w:jc w:val="center"/>
        <w:rPr>
          <w:rFonts w:ascii="Cambria" w:hAnsi="Cambria"/>
        </w:rPr>
      </w:pPr>
      <w:r>
        <w:rPr>
          <w:rFonts w:ascii="Cambria" w:hAnsi="Cambria"/>
        </w:rPr>
        <w:t>1770 Land Holdings of Brown University according to “Plats of Brown University”</w:t>
      </w:r>
    </w:p>
    <w:p w14:paraId="3D4DBB7D" w14:textId="77777777" w:rsidR="00126E3C" w:rsidRDefault="00126E3C" w:rsidP="00126E3C">
      <w:pPr>
        <w:jc w:val="center"/>
        <w:rPr>
          <w:rFonts w:ascii="Cambria" w:hAnsi="Cambria"/>
        </w:rPr>
      </w:pPr>
    </w:p>
    <w:p w14:paraId="6A1E7F74" w14:textId="650BBDD4" w:rsidR="00126E3C" w:rsidRDefault="00126E3C" w:rsidP="00126E3C">
      <w:pPr>
        <w:jc w:val="center"/>
        <w:rPr>
          <w:rFonts w:ascii="Cambria" w:hAnsi="Cambria"/>
        </w:rPr>
      </w:pPr>
      <w:r>
        <w:rPr>
          <w:rFonts w:ascii="Cambria" w:hAnsi="Cambria"/>
          <w:noProof/>
        </w:rPr>
        <w:drawing>
          <wp:inline distT="0" distB="0" distL="0" distR="0" wp14:anchorId="326A1C5B" wp14:editId="7A953F0F">
            <wp:extent cx="5181599" cy="3886200"/>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84149" cy="3888112"/>
                    </a:xfrm>
                    <a:prstGeom prst="rect">
                      <a:avLst/>
                    </a:prstGeom>
                    <a:noFill/>
                    <a:ln>
                      <a:noFill/>
                    </a:ln>
                  </pic:spPr>
                </pic:pic>
              </a:graphicData>
            </a:graphic>
          </wp:inline>
        </w:drawing>
      </w:r>
    </w:p>
    <w:p w14:paraId="7B91AA72" w14:textId="77777777" w:rsidR="00126E3C" w:rsidRDefault="00126E3C" w:rsidP="00126E3C">
      <w:pPr>
        <w:jc w:val="center"/>
        <w:rPr>
          <w:rFonts w:ascii="Cambria" w:hAnsi="Cambria"/>
        </w:rPr>
      </w:pPr>
    </w:p>
    <w:p w14:paraId="1155BEA5" w14:textId="4AA11E4E" w:rsidR="00126E3C" w:rsidRDefault="00126E3C" w:rsidP="00126E3C">
      <w:pPr>
        <w:jc w:val="center"/>
        <w:rPr>
          <w:rFonts w:ascii="Cambria" w:hAnsi="Cambria"/>
        </w:rPr>
      </w:pPr>
      <w:r>
        <w:rPr>
          <w:rFonts w:ascii="Cambria" w:hAnsi="Cambria"/>
          <w:noProof/>
        </w:rPr>
        <w:drawing>
          <wp:inline distT="0" distB="0" distL="0" distR="0" wp14:anchorId="266AB1A9" wp14:editId="095934D4">
            <wp:extent cx="5484283" cy="4113213"/>
            <wp:effectExtent l="0" t="0" r="254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4678" cy="4113509"/>
                    </a:xfrm>
                    <a:prstGeom prst="rect">
                      <a:avLst/>
                    </a:prstGeom>
                    <a:noFill/>
                    <a:ln>
                      <a:noFill/>
                    </a:ln>
                  </pic:spPr>
                </pic:pic>
              </a:graphicData>
            </a:graphic>
          </wp:inline>
        </w:drawing>
      </w:r>
    </w:p>
    <w:p w14:paraId="217F688E" w14:textId="77777777" w:rsidR="00126E3C" w:rsidRDefault="00126E3C" w:rsidP="00126E3C">
      <w:pPr>
        <w:jc w:val="center"/>
        <w:rPr>
          <w:rFonts w:ascii="Cambria" w:hAnsi="Cambria"/>
        </w:rPr>
      </w:pPr>
    </w:p>
    <w:p w14:paraId="2DEC3C83" w14:textId="77777777" w:rsidR="00126E3C" w:rsidRDefault="00126E3C" w:rsidP="00126E3C">
      <w:pPr>
        <w:jc w:val="center"/>
        <w:rPr>
          <w:rFonts w:ascii="Cambria" w:hAnsi="Cambria"/>
        </w:rPr>
      </w:pPr>
      <w:r w:rsidRPr="00420CEE">
        <w:rPr>
          <w:rFonts w:ascii="Cambria" w:hAnsi="Cambria"/>
        </w:rPr>
        <w:t>Bibliography</w:t>
      </w:r>
    </w:p>
    <w:p w14:paraId="5ADA38D1" w14:textId="77777777" w:rsidR="00126E3C" w:rsidRDefault="00126E3C" w:rsidP="00126E3C">
      <w:pPr>
        <w:jc w:val="center"/>
        <w:rPr>
          <w:rFonts w:ascii="Cambria" w:hAnsi="Cambria"/>
        </w:rPr>
      </w:pPr>
    </w:p>
    <w:p w14:paraId="00C291DB" w14:textId="77777777" w:rsidR="00126E3C" w:rsidRPr="00420CEE" w:rsidRDefault="00126E3C" w:rsidP="00126E3C">
      <w:pPr>
        <w:jc w:val="center"/>
        <w:rPr>
          <w:rFonts w:ascii="Cambria" w:hAnsi="Cambria"/>
        </w:rPr>
      </w:pPr>
    </w:p>
    <w:p w14:paraId="43622F90" w14:textId="77777777" w:rsidR="00126E3C" w:rsidRPr="00420CEE" w:rsidRDefault="00126E3C" w:rsidP="00126E3C">
      <w:pPr>
        <w:rPr>
          <w:rFonts w:ascii="Cambria" w:hAnsi="Cambria"/>
        </w:rPr>
      </w:pPr>
    </w:p>
    <w:p w14:paraId="28C77936" w14:textId="77777777" w:rsidR="00126E3C" w:rsidRPr="00420CEE" w:rsidRDefault="00126E3C" w:rsidP="00126E3C">
      <w:pPr>
        <w:rPr>
          <w:rFonts w:ascii="Cambria" w:eastAsia="Times New Roman" w:hAnsi="Cambria" w:cs="Times New Roman"/>
        </w:rPr>
      </w:pPr>
      <w:r w:rsidRPr="00420CEE">
        <w:rPr>
          <w:rFonts w:ascii="Cambria" w:eastAsia="Times New Roman" w:hAnsi="Cambria" w:cs="Times New Roman"/>
        </w:rPr>
        <w:t>Bronson, Walter C. </w:t>
      </w:r>
    </w:p>
    <w:p w14:paraId="0781E004" w14:textId="77777777" w:rsidR="00126E3C" w:rsidRPr="00420CEE" w:rsidRDefault="00126E3C" w:rsidP="00126E3C">
      <w:pPr>
        <w:ind w:left="360"/>
        <w:rPr>
          <w:rFonts w:ascii="Cambria" w:eastAsia="Times New Roman" w:hAnsi="Cambria" w:cs="Times New Roman"/>
        </w:rPr>
      </w:pPr>
      <w:r w:rsidRPr="00420CEE">
        <w:rPr>
          <w:rFonts w:ascii="Cambria" w:eastAsia="Times New Roman" w:hAnsi="Cambria" w:cs="Times New Roman"/>
          <w:i/>
          <w:iCs/>
        </w:rPr>
        <w:t>1914  The history of Brown University, 1764-1914</w:t>
      </w:r>
      <w:r w:rsidRPr="00420CEE">
        <w:rPr>
          <w:rFonts w:ascii="Cambria" w:eastAsia="Times New Roman" w:hAnsi="Cambria" w:cs="Times New Roman"/>
        </w:rPr>
        <w:t xml:space="preserve">. Providence: The University. </w:t>
      </w:r>
    </w:p>
    <w:p w14:paraId="1C7BB34D" w14:textId="77777777" w:rsidR="00126E3C" w:rsidRPr="00420CEE" w:rsidRDefault="00126E3C" w:rsidP="00126E3C">
      <w:pPr>
        <w:rPr>
          <w:rFonts w:ascii="Cambria" w:eastAsia="Times New Roman" w:hAnsi="Cambria" w:cs="Times New Roman"/>
        </w:rPr>
      </w:pPr>
    </w:p>
    <w:p w14:paraId="509A4D24" w14:textId="77777777" w:rsidR="00126E3C" w:rsidRPr="00420CEE" w:rsidRDefault="00126E3C" w:rsidP="00126E3C">
      <w:pPr>
        <w:rPr>
          <w:rFonts w:ascii="Cambria" w:eastAsia="Times New Roman" w:hAnsi="Cambria" w:cs="Times New Roman"/>
        </w:rPr>
      </w:pPr>
      <w:r w:rsidRPr="00420CEE">
        <w:rPr>
          <w:rFonts w:ascii="Cambria" w:eastAsia="Times New Roman" w:hAnsi="Cambria" w:cs="Times New Roman"/>
        </w:rPr>
        <w:t>Brown, Robert Perkins, Henry Robinson Palmer, Harry Lyman Koopman, and Clarence S. Brigham </w:t>
      </w:r>
    </w:p>
    <w:p w14:paraId="4A8E3272" w14:textId="77777777" w:rsidR="00126E3C" w:rsidRPr="00420CEE" w:rsidRDefault="00126E3C" w:rsidP="00126E3C">
      <w:pPr>
        <w:ind w:left="540" w:hanging="180"/>
        <w:rPr>
          <w:rFonts w:ascii="Cambria" w:eastAsia="Times New Roman" w:hAnsi="Cambria" w:cs="Times New Roman"/>
        </w:rPr>
      </w:pPr>
      <w:r w:rsidRPr="00420CEE">
        <w:rPr>
          <w:rFonts w:ascii="Cambria" w:eastAsia="Times New Roman" w:hAnsi="Cambria" w:cs="Times New Roman"/>
          <w:i/>
          <w:iCs/>
        </w:rPr>
        <w:t>1909  Memories of Brown; traditions and recollections gathered from many sources.</w:t>
      </w:r>
      <w:r w:rsidRPr="00420CEE">
        <w:rPr>
          <w:rFonts w:ascii="Cambria" w:eastAsia="Times New Roman" w:hAnsi="Cambria" w:cs="Times New Roman"/>
        </w:rPr>
        <w:t>. Providence, R.I.: Brown Alumni Magazine Co.</w:t>
      </w:r>
    </w:p>
    <w:p w14:paraId="4C322D7C" w14:textId="77777777" w:rsidR="00126E3C" w:rsidRPr="00420CEE" w:rsidRDefault="00126E3C" w:rsidP="00126E3C">
      <w:pPr>
        <w:rPr>
          <w:rFonts w:ascii="Cambria" w:eastAsia="Times New Roman" w:hAnsi="Cambria" w:cs="Times New Roman"/>
        </w:rPr>
      </w:pPr>
    </w:p>
    <w:p w14:paraId="3C07C15E" w14:textId="77777777" w:rsidR="00126E3C" w:rsidRPr="00420CEE" w:rsidRDefault="00126E3C" w:rsidP="00126E3C">
      <w:pPr>
        <w:rPr>
          <w:rFonts w:ascii="Cambria" w:eastAsia="Times New Roman" w:hAnsi="Cambria" w:cs="Times New Roman"/>
        </w:rPr>
      </w:pPr>
      <w:r w:rsidRPr="00420CEE">
        <w:rPr>
          <w:rFonts w:ascii="Cambria" w:eastAsia="Times New Roman" w:hAnsi="Cambria" w:cs="Times New Roman"/>
        </w:rPr>
        <w:t>Burlingame, Edwin A.</w:t>
      </w:r>
    </w:p>
    <w:p w14:paraId="10920C64" w14:textId="77777777" w:rsidR="00126E3C" w:rsidRPr="00420CEE" w:rsidRDefault="00126E3C" w:rsidP="00126E3C">
      <w:pPr>
        <w:ind w:left="540" w:hanging="180"/>
        <w:rPr>
          <w:rFonts w:ascii="Cambria" w:eastAsia="Times New Roman" w:hAnsi="Cambria" w:cs="Times New Roman"/>
        </w:rPr>
      </w:pPr>
      <w:r w:rsidRPr="00420CEE">
        <w:rPr>
          <w:rFonts w:ascii="Cambria" w:eastAsia="Times New Roman" w:hAnsi="Cambria" w:cs="Times New Roman"/>
          <w:i/>
          <w:iCs/>
        </w:rPr>
        <w:t>1938  Plat of the Rhode Island College property of 1770, and plats of the succeeding Brown University properties in 1870, 1904 and 1938: together with an abridged history of these properties</w:t>
      </w:r>
      <w:r w:rsidRPr="00420CEE">
        <w:rPr>
          <w:rFonts w:ascii="Cambria" w:eastAsia="Times New Roman" w:hAnsi="Cambria" w:cs="Times New Roman"/>
        </w:rPr>
        <w:t>. Providence: [The University].</w:t>
      </w:r>
    </w:p>
    <w:p w14:paraId="4DF2189E" w14:textId="77777777" w:rsidR="00126E3C" w:rsidRPr="00420CEE" w:rsidRDefault="00126E3C" w:rsidP="00126E3C">
      <w:pPr>
        <w:rPr>
          <w:rFonts w:ascii="Cambria" w:eastAsia="Times New Roman" w:hAnsi="Cambria" w:cs="Times New Roman"/>
        </w:rPr>
      </w:pPr>
    </w:p>
    <w:p w14:paraId="5BA73964" w14:textId="77777777" w:rsidR="00126E3C" w:rsidRPr="00420CEE" w:rsidRDefault="00126E3C" w:rsidP="00126E3C">
      <w:pPr>
        <w:rPr>
          <w:rFonts w:ascii="Cambria" w:eastAsia="Times New Roman" w:hAnsi="Cambria" w:cs="Times New Roman"/>
        </w:rPr>
      </w:pPr>
      <w:r w:rsidRPr="00420CEE">
        <w:rPr>
          <w:rFonts w:ascii="Cambria" w:eastAsia="Times New Roman" w:hAnsi="Cambria" w:cs="Times New Roman"/>
        </w:rPr>
        <w:t>Guild, Reuben Aldridge </w:t>
      </w:r>
    </w:p>
    <w:p w14:paraId="3951A2EC" w14:textId="77777777" w:rsidR="00126E3C" w:rsidRPr="00420CEE" w:rsidRDefault="00126E3C" w:rsidP="00126E3C">
      <w:pPr>
        <w:ind w:left="540" w:hanging="180"/>
        <w:rPr>
          <w:rFonts w:ascii="Cambria" w:eastAsia="Times New Roman" w:hAnsi="Cambria" w:cs="Times New Roman"/>
        </w:rPr>
      </w:pPr>
      <w:r w:rsidRPr="00420CEE">
        <w:rPr>
          <w:rFonts w:ascii="Cambria" w:eastAsia="Times New Roman" w:hAnsi="Cambria" w:cs="Times New Roman"/>
          <w:i/>
          <w:iCs/>
        </w:rPr>
        <w:t>1864  Life, times, and correspondence of James Manning, and the early history of Brown University</w:t>
      </w:r>
      <w:r w:rsidRPr="00420CEE">
        <w:rPr>
          <w:rFonts w:ascii="Cambria" w:eastAsia="Times New Roman" w:hAnsi="Cambria" w:cs="Times New Roman"/>
        </w:rPr>
        <w:t>. Boston: Gould and Lincoln.</w:t>
      </w:r>
    </w:p>
    <w:p w14:paraId="0BE3F94D" w14:textId="77777777" w:rsidR="00126E3C" w:rsidRPr="00420CEE" w:rsidRDefault="00126E3C" w:rsidP="00126E3C">
      <w:pPr>
        <w:rPr>
          <w:rFonts w:ascii="Cambria" w:eastAsia="Times New Roman" w:hAnsi="Cambria" w:cs="Times New Roman"/>
        </w:rPr>
      </w:pPr>
    </w:p>
    <w:p w14:paraId="43DFAFFA" w14:textId="77777777" w:rsidR="00126E3C" w:rsidRPr="00420CEE" w:rsidRDefault="00126E3C" w:rsidP="00126E3C">
      <w:pPr>
        <w:rPr>
          <w:rFonts w:ascii="Cambria" w:eastAsia="Times New Roman" w:hAnsi="Cambria" w:cs="Times New Roman"/>
        </w:rPr>
      </w:pPr>
      <w:r w:rsidRPr="00420CEE">
        <w:rPr>
          <w:rFonts w:ascii="Cambria" w:eastAsia="Times New Roman" w:hAnsi="Cambria" w:cs="Times New Roman"/>
        </w:rPr>
        <w:t xml:space="preserve">Mitchell, Margaret </w:t>
      </w:r>
    </w:p>
    <w:p w14:paraId="776EDBB7" w14:textId="77777777" w:rsidR="00126E3C" w:rsidRPr="00420CEE" w:rsidRDefault="00126E3C" w:rsidP="00126E3C">
      <w:pPr>
        <w:ind w:left="540" w:hanging="180"/>
        <w:rPr>
          <w:rFonts w:ascii="Cambria" w:eastAsia="Times New Roman" w:hAnsi="Cambria" w:cs="Times New Roman"/>
        </w:rPr>
      </w:pPr>
      <w:r w:rsidRPr="00420CEE">
        <w:rPr>
          <w:rFonts w:ascii="Cambria" w:eastAsia="Times New Roman" w:hAnsi="Cambria" w:cs="Times New Roman"/>
        </w:rPr>
        <w:t>1993  "President's House." Encyclopedia Brunonia. www.brown.edu/Administration/News_Bureau/Databases/Encyclopedia/search.php?serial=P0390 (accessed September 18, 2012).</w:t>
      </w:r>
    </w:p>
    <w:p w14:paraId="72EFE9C6" w14:textId="77777777" w:rsidR="00126E3C" w:rsidRPr="00420CEE" w:rsidRDefault="00126E3C" w:rsidP="00126E3C">
      <w:pPr>
        <w:tabs>
          <w:tab w:val="left" w:pos="630"/>
        </w:tabs>
        <w:ind w:left="180" w:hanging="180"/>
        <w:rPr>
          <w:rFonts w:ascii="Cambria" w:eastAsia="Times New Roman" w:hAnsi="Cambria" w:cs="Times New Roman"/>
        </w:rPr>
      </w:pPr>
    </w:p>
    <w:p w14:paraId="78E83927" w14:textId="77777777" w:rsidR="00126E3C" w:rsidRDefault="00126E3C" w:rsidP="00126E3C">
      <w:pPr>
        <w:tabs>
          <w:tab w:val="left" w:pos="630"/>
        </w:tabs>
        <w:ind w:left="180" w:hanging="180"/>
        <w:rPr>
          <w:rFonts w:ascii="Cambria" w:eastAsia="Times New Roman" w:hAnsi="Cambria" w:cs="Times New Roman"/>
        </w:rPr>
      </w:pPr>
      <w:r w:rsidRPr="00420CEE">
        <w:rPr>
          <w:rFonts w:ascii="Cambria" w:eastAsia="Times New Roman" w:hAnsi="Cambria" w:cs="Times New Roman"/>
        </w:rPr>
        <w:t>Robert, Emien</w:t>
      </w:r>
    </w:p>
    <w:p w14:paraId="7FE5807B" w14:textId="77777777" w:rsidR="00126E3C" w:rsidRPr="00420CEE" w:rsidRDefault="00126E3C" w:rsidP="00126E3C">
      <w:pPr>
        <w:tabs>
          <w:tab w:val="left" w:pos="630"/>
        </w:tabs>
        <w:ind w:left="270" w:firstLine="180"/>
        <w:rPr>
          <w:rFonts w:ascii="Cambria" w:eastAsia="Times New Roman" w:hAnsi="Cambria" w:cs="Times New Roman"/>
        </w:rPr>
      </w:pPr>
      <w:r w:rsidRPr="00420CEE">
        <w:rPr>
          <w:rFonts w:ascii="Cambria" w:eastAsia="Times New Roman" w:hAnsi="Cambria" w:cs="Times New Roman"/>
        </w:rPr>
        <w:t>2012</w:t>
      </w:r>
      <w:r>
        <w:rPr>
          <w:rFonts w:ascii="Cambria" w:eastAsia="Times New Roman" w:hAnsi="Cambria" w:cs="Times New Roman"/>
        </w:rPr>
        <w:t xml:space="preserve">  </w:t>
      </w:r>
      <w:r w:rsidRPr="00420CEE">
        <w:rPr>
          <w:rFonts w:ascii="Cambria" w:eastAsia="Times New Roman" w:hAnsi="Cambria" w:cs="Times New Roman"/>
        </w:rPr>
        <w:t>"Images of Brown."</w:t>
      </w:r>
      <w:r w:rsidRPr="00420CEE">
        <w:rPr>
          <w:rFonts w:ascii="Cambria" w:eastAsia="Times New Roman" w:hAnsi="Cambria" w:cs="Times New Roman"/>
          <w:i/>
          <w:iCs/>
        </w:rPr>
        <w:t>Brown University Library</w:t>
      </w:r>
      <w:r w:rsidRPr="00420CEE">
        <w:rPr>
          <w:rFonts w:ascii="Cambria" w:eastAsia="Times New Roman" w:hAnsi="Cambria" w:cs="Times New Roman"/>
        </w:rPr>
        <w:t xml:space="preserve">. N.p., n.d. Web. 19 Sept. 2012.   </w:t>
      </w:r>
      <w:r>
        <w:rPr>
          <w:rFonts w:ascii="Cambria" w:eastAsia="Times New Roman" w:hAnsi="Cambria" w:cs="Times New Roman"/>
        </w:rPr>
        <w:tab/>
      </w:r>
      <w:hyperlink r:id="rId11" w:history="1">
        <w:r w:rsidRPr="00420CEE">
          <w:rPr>
            <w:rStyle w:val="Hyperlink"/>
            <w:rFonts w:ascii="Cambria" w:eastAsia="Times New Roman" w:hAnsi="Cambria" w:cs="Times New Roman"/>
          </w:rPr>
          <w:t>http://library.brown.edu/testzone/images_of_brown/emlen/</w:t>
        </w:r>
      </w:hyperlink>
    </w:p>
    <w:p w14:paraId="227EDD81" w14:textId="77777777" w:rsidR="00126E3C" w:rsidRDefault="00126E3C" w:rsidP="00126E3C">
      <w:pPr>
        <w:shd w:val="clear" w:color="auto" w:fill="FFFFFF"/>
        <w:rPr>
          <w:rFonts w:ascii="Cambria" w:eastAsia="Times New Roman" w:hAnsi="Cambria" w:cs="Times New Roman"/>
        </w:rPr>
      </w:pPr>
    </w:p>
    <w:p w14:paraId="78046A36" w14:textId="77777777" w:rsidR="00126E3C" w:rsidRDefault="00126E3C" w:rsidP="00126E3C">
      <w:pPr>
        <w:shd w:val="clear" w:color="auto" w:fill="FFFFFF"/>
        <w:rPr>
          <w:rFonts w:ascii="Cambria" w:eastAsia="Times New Roman" w:hAnsi="Cambria" w:cs="Times New Roman"/>
        </w:rPr>
      </w:pPr>
      <w:r>
        <w:rPr>
          <w:rFonts w:ascii="Cambria" w:eastAsia="Times New Roman" w:hAnsi="Cambria" w:cs="Times New Roman"/>
        </w:rPr>
        <w:t>Cooke, Darius Sesions, Joseph Russell</w:t>
      </w:r>
    </w:p>
    <w:p w14:paraId="5C6B9D57" w14:textId="77777777" w:rsidR="00126E3C" w:rsidRPr="00423D4B" w:rsidRDefault="00126E3C" w:rsidP="00126E3C">
      <w:pPr>
        <w:shd w:val="clear" w:color="auto" w:fill="FFFFFF"/>
        <w:ind w:firstLine="360"/>
        <w:rPr>
          <w:rFonts w:ascii="Cambria" w:eastAsia="Times New Roman" w:hAnsi="Cambria" w:cs="Times New Roman"/>
        </w:rPr>
      </w:pPr>
      <w:r>
        <w:rPr>
          <w:rFonts w:ascii="Cambria" w:eastAsia="Times New Roman" w:hAnsi="Cambria" w:cs="Times New Roman"/>
        </w:rPr>
        <w:t xml:space="preserve">1771  “The College to Nicholas Brown and Company” </w:t>
      </w:r>
    </w:p>
    <w:p w14:paraId="277FF909" w14:textId="77777777" w:rsidR="00126E3C" w:rsidRPr="00423D4B" w:rsidRDefault="00126E3C" w:rsidP="00126E3C">
      <w:pPr>
        <w:shd w:val="clear" w:color="auto" w:fill="FFFFFF"/>
        <w:rPr>
          <w:rFonts w:ascii="Verdana" w:eastAsia="Times New Roman" w:hAnsi="Verdana" w:cs="Arial"/>
          <w:color w:val="000000"/>
          <w:sz w:val="17"/>
          <w:szCs w:val="17"/>
        </w:rPr>
      </w:pPr>
      <w:r>
        <w:rPr>
          <w:rFonts w:ascii="Cambria" w:eastAsia="Times New Roman" w:hAnsi="Cambria" w:cs="Times New Roman"/>
          <w:color w:val="000000"/>
          <w:shd w:val="clear" w:color="auto" w:fill="FFFFFF"/>
        </w:rPr>
        <w:tab/>
      </w:r>
      <w:r w:rsidRPr="00420CEE">
        <w:rPr>
          <w:rFonts w:ascii="Cambria" w:eastAsia="Times New Roman" w:hAnsi="Cambria" w:cs="Times New Roman"/>
          <w:color w:val="000000"/>
          <w:shd w:val="clear" w:color="auto" w:fill="FFFFFF"/>
        </w:rPr>
        <w:t xml:space="preserve">Rhode Island College miscellaneous papers, MS-1E-1, Brown University </w:t>
      </w:r>
      <w:r>
        <w:rPr>
          <w:rFonts w:ascii="Cambria" w:eastAsia="Times New Roman" w:hAnsi="Cambria" w:cs="Times New Roman"/>
          <w:color w:val="000000"/>
          <w:shd w:val="clear" w:color="auto" w:fill="FFFFFF"/>
        </w:rPr>
        <w:tab/>
      </w:r>
      <w:r w:rsidRPr="00420CEE">
        <w:rPr>
          <w:rFonts w:ascii="Cambria" w:eastAsia="Times New Roman" w:hAnsi="Cambria" w:cs="Times New Roman"/>
          <w:color w:val="000000"/>
          <w:shd w:val="clear" w:color="auto" w:fill="FFFFFF"/>
        </w:rPr>
        <w:t>Archives.</w:t>
      </w:r>
      <w:r>
        <w:rPr>
          <w:rFonts w:ascii="Cambria" w:eastAsia="Times New Roman" w:hAnsi="Cambria" w:cs="Times New Roman"/>
          <w:color w:val="000000"/>
          <w:shd w:val="clear" w:color="auto" w:fill="FFFFFF"/>
        </w:rPr>
        <w:t xml:space="preserve"> </w:t>
      </w:r>
    </w:p>
    <w:p w14:paraId="73818D5B" w14:textId="77777777" w:rsidR="00126E3C" w:rsidRPr="00423D4B" w:rsidRDefault="00126E3C" w:rsidP="00126E3C">
      <w:pPr>
        <w:rPr>
          <w:rFonts w:ascii="Arial" w:eastAsia="Times New Roman" w:hAnsi="Arial" w:cs="Arial"/>
          <w:color w:val="000000"/>
          <w:sz w:val="17"/>
          <w:szCs w:val="17"/>
        </w:rPr>
      </w:pPr>
    </w:p>
    <w:p w14:paraId="4C18DA03" w14:textId="77777777" w:rsidR="00126E3C" w:rsidRPr="00420CEE" w:rsidRDefault="00126E3C" w:rsidP="00126E3C">
      <w:pPr>
        <w:rPr>
          <w:rFonts w:ascii="Cambria" w:eastAsia="Times New Roman" w:hAnsi="Cambria" w:cs="Times New Roman"/>
        </w:rPr>
      </w:pPr>
    </w:p>
    <w:p w14:paraId="70708BF7" w14:textId="77777777" w:rsidR="00126E3C" w:rsidRPr="00420CEE" w:rsidRDefault="00126E3C" w:rsidP="00126E3C">
      <w:pPr>
        <w:tabs>
          <w:tab w:val="left" w:pos="630"/>
        </w:tabs>
        <w:rPr>
          <w:rFonts w:ascii="Cambria" w:eastAsia="Times New Roman" w:hAnsi="Cambria" w:cs="Times New Roman"/>
        </w:rPr>
      </w:pPr>
    </w:p>
    <w:p w14:paraId="28B66BA2" w14:textId="77777777" w:rsidR="00126E3C" w:rsidRPr="00420CEE" w:rsidRDefault="00126E3C" w:rsidP="00126E3C">
      <w:pPr>
        <w:pBdr>
          <w:bottom w:val="single" w:sz="6" w:space="1" w:color="auto"/>
        </w:pBdr>
        <w:jc w:val="center"/>
        <w:rPr>
          <w:rFonts w:ascii="Cambria" w:hAnsi="Cambria" w:cs="Arial"/>
          <w:vanish/>
        </w:rPr>
      </w:pPr>
      <w:r w:rsidRPr="00420CEE">
        <w:rPr>
          <w:rFonts w:ascii="Cambria" w:hAnsi="Cambria" w:cs="Arial"/>
          <w:vanish/>
        </w:rPr>
        <w:t>Top of Form</w:t>
      </w:r>
    </w:p>
    <w:p w14:paraId="794BE4B7" w14:textId="77777777" w:rsidR="00126E3C" w:rsidRPr="00420CEE" w:rsidRDefault="00126E3C" w:rsidP="00126E3C">
      <w:pPr>
        <w:pBdr>
          <w:top w:val="single" w:sz="6" w:space="1" w:color="auto"/>
        </w:pBdr>
        <w:jc w:val="center"/>
        <w:rPr>
          <w:rFonts w:ascii="Cambria" w:hAnsi="Cambria" w:cs="Arial"/>
          <w:vanish/>
        </w:rPr>
      </w:pPr>
      <w:r w:rsidRPr="00420CEE">
        <w:rPr>
          <w:rFonts w:ascii="Cambria" w:hAnsi="Cambria" w:cs="Arial"/>
          <w:vanish/>
        </w:rPr>
        <w:t>Bottom of Form</w:t>
      </w:r>
    </w:p>
    <w:p w14:paraId="6F922987" w14:textId="77777777" w:rsidR="00126E3C" w:rsidRPr="00420CEE" w:rsidRDefault="00126E3C" w:rsidP="00126E3C">
      <w:pPr>
        <w:rPr>
          <w:rFonts w:ascii="Cambria" w:eastAsia="Times New Roman" w:hAnsi="Cambria" w:cs="Times New Roman"/>
        </w:rPr>
      </w:pPr>
    </w:p>
    <w:p w14:paraId="5550135B" w14:textId="77777777" w:rsidR="00126E3C" w:rsidRPr="00420CEE" w:rsidRDefault="00126E3C" w:rsidP="00126E3C">
      <w:pPr>
        <w:rPr>
          <w:rFonts w:ascii="Cambria" w:hAnsi="Cambria"/>
        </w:rPr>
      </w:pPr>
    </w:p>
    <w:p w14:paraId="150CFA55" w14:textId="77777777" w:rsidR="00126E3C" w:rsidRDefault="00126E3C" w:rsidP="00FB317F">
      <w:pPr>
        <w:spacing w:line="480" w:lineRule="auto"/>
      </w:pPr>
    </w:p>
    <w:p w14:paraId="52CD053C" w14:textId="77777777" w:rsidR="00725EAA" w:rsidRDefault="00725EAA" w:rsidP="00FB317F">
      <w:pPr>
        <w:spacing w:line="480" w:lineRule="auto"/>
      </w:pPr>
    </w:p>
    <w:p w14:paraId="6BED3CCA" w14:textId="77777777" w:rsidR="00725EAA" w:rsidRDefault="00725EAA" w:rsidP="00FB317F">
      <w:pPr>
        <w:spacing w:line="480" w:lineRule="auto"/>
      </w:pPr>
      <w:bookmarkStart w:id="0" w:name="_GoBack"/>
      <w:bookmarkEnd w:id="0"/>
    </w:p>
    <w:sectPr w:rsidR="00725EAA" w:rsidSect="00725EAA">
      <w:pgSz w:w="12240" w:h="15840"/>
      <w:pgMar w:top="1440" w:right="1440" w:bottom="1440" w:left="153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Georgia">
    <w:panose1 w:val="02040502050405020303"/>
    <w:charset w:val="00"/>
    <w:family w:val="auto"/>
    <w:pitch w:val="variable"/>
    <w:sig w:usb0="00000287" w:usb1="00000000" w:usb2="00000000" w:usb3="00000000" w:csb0="0000009F" w:csb1="00000000"/>
  </w:font>
  <w:font w:name="Verdana">
    <w:panose1 w:val="020B0604030504040204"/>
    <w:charset w:val="00"/>
    <w:family w:val="auto"/>
    <w:pitch w:val="variable"/>
    <w:sig w:usb0="A10006FF" w:usb1="4000205B" w:usb2="0000001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CEB40A2"/>
    <w:multiLevelType w:val="multilevel"/>
    <w:tmpl w:val="896EDC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26415"/>
    <w:rsid w:val="00010B32"/>
    <w:rsid w:val="000D44B4"/>
    <w:rsid w:val="000E7202"/>
    <w:rsid w:val="00126E3C"/>
    <w:rsid w:val="0021316A"/>
    <w:rsid w:val="003E024B"/>
    <w:rsid w:val="003E5B61"/>
    <w:rsid w:val="004261A2"/>
    <w:rsid w:val="004822CD"/>
    <w:rsid w:val="00485D20"/>
    <w:rsid w:val="004C31E8"/>
    <w:rsid w:val="004D18AC"/>
    <w:rsid w:val="00554C34"/>
    <w:rsid w:val="005C2300"/>
    <w:rsid w:val="006025B0"/>
    <w:rsid w:val="00653980"/>
    <w:rsid w:val="007165C5"/>
    <w:rsid w:val="00725EAA"/>
    <w:rsid w:val="00795B13"/>
    <w:rsid w:val="00823D2A"/>
    <w:rsid w:val="00897AD4"/>
    <w:rsid w:val="008B1A5B"/>
    <w:rsid w:val="0092345F"/>
    <w:rsid w:val="009542B3"/>
    <w:rsid w:val="009978F7"/>
    <w:rsid w:val="009D02FA"/>
    <w:rsid w:val="009E23DB"/>
    <w:rsid w:val="00AC1C00"/>
    <w:rsid w:val="00AC7B9B"/>
    <w:rsid w:val="00AF62BD"/>
    <w:rsid w:val="00BD5129"/>
    <w:rsid w:val="00C26415"/>
    <w:rsid w:val="00CC5949"/>
    <w:rsid w:val="00D91A3C"/>
    <w:rsid w:val="00E96090"/>
    <w:rsid w:val="00EE106D"/>
    <w:rsid w:val="00FB317F"/>
    <w:rsid w:val="00FE387A"/>
    <w:rsid w:val="00FE641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decimalSymbol w:val="."/>
  <w:listSeparator w:val=","/>
  <w14:docId w14:val="7C5F0C7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3E024B"/>
  </w:style>
  <w:style w:type="character" w:styleId="Hyperlink">
    <w:name w:val="Hyperlink"/>
    <w:basedOn w:val="DefaultParagraphFont"/>
    <w:uiPriority w:val="99"/>
    <w:unhideWhenUsed/>
    <w:rsid w:val="00126E3C"/>
    <w:rPr>
      <w:color w:val="0000FF" w:themeColor="hyperlink"/>
      <w:u w:val="single"/>
    </w:rPr>
  </w:style>
  <w:style w:type="paragraph" w:styleId="BalloonText">
    <w:name w:val="Balloon Text"/>
    <w:basedOn w:val="Normal"/>
    <w:link w:val="BalloonTextChar"/>
    <w:uiPriority w:val="99"/>
    <w:semiHidden/>
    <w:unhideWhenUsed/>
    <w:rsid w:val="00126E3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26E3C"/>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3E024B"/>
  </w:style>
  <w:style w:type="character" w:styleId="Hyperlink">
    <w:name w:val="Hyperlink"/>
    <w:basedOn w:val="DefaultParagraphFont"/>
    <w:uiPriority w:val="99"/>
    <w:unhideWhenUsed/>
    <w:rsid w:val="00126E3C"/>
    <w:rPr>
      <w:color w:val="0000FF" w:themeColor="hyperlink"/>
      <w:u w:val="single"/>
    </w:rPr>
  </w:style>
  <w:style w:type="paragraph" w:styleId="BalloonText">
    <w:name w:val="Balloon Text"/>
    <w:basedOn w:val="Normal"/>
    <w:link w:val="BalloonTextChar"/>
    <w:uiPriority w:val="99"/>
    <w:semiHidden/>
    <w:unhideWhenUsed/>
    <w:rsid w:val="00126E3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26E3C"/>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99017127">
      <w:bodyDiv w:val="1"/>
      <w:marLeft w:val="0"/>
      <w:marRight w:val="0"/>
      <w:marTop w:val="0"/>
      <w:marBottom w:val="0"/>
      <w:divBdr>
        <w:top w:val="none" w:sz="0" w:space="0" w:color="auto"/>
        <w:left w:val="none" w:sz="0" w:space="0" w:color="auto"/>
        <w:bottom w:val="none" w:sz="0" w:space="0" w:color="auto"/>
        <w:right w:val="none" w:sz="0" w:space="0" w:color="auto"/>
      </w:divBdr>
      <w:divsChild>
        <w:div w:id="1472791571">
          <w:marLeft w:val="0"/>
          <w:marRight w:val="0"/>
          <w:marTop w:val="0"/>
          <w:marBottom w:val="0"/>
          <w:divBdr>
            <w:top w:val="none" w:sz="0" w:space="0" w:color="auto"/>
            <w:left w:val="none" w:sz="0" w:space="0" w:color="auto"/>
            <w:bottom w:val="none" w:sz="0" w:space="0" w:color="auto"/>
            <w:right w:val="none" w:sz="0" w:space="0" w:color="auto"/>
          </w:divBdr>
        </w:div>
        <w:div w:id="2066561077">
          <w:marLeft w:val="0"/>
          <w:marRight w:val="0"/>
          <w:marTop w:val="0"/>
          <w:marBottom w:val="0"/>
          <w:divBdr>
            <w:top w:val="none" w:sz="0" w:space="0" w:color="auto"/>
            <w:left w:val="none" w:sz="0" w:space="0" w:color="auto"/>
            <w:bottom w:val="none" w:sz="0" w:space="0" w:color="auto"/>
            <w:right w:val="none" w:sz="0" w:space="0" w:color="auto"/>
          </w:divBdr>
          <w:divsChild>
            <w:div w:id="1462335088">
              <w:marLeft w:val="0"/>
              <w:marRight w:val="0"/>
              <w:marTop w:val="0"/>
              <w:marBottom w:val="0"/>
              <w:divBdr>
                <w:top w:val="none" w:sz="0" w:space="0" w:color="auto"/>
                <w:left w:val="none" w:sz="0" w:space="0" w:color="auto"/>
                <w:bottom w:val="none" w:sz="0" w:space="0" w:color="auto"/>
                <w:right w:val="none" w:sz="0" w:space="0" w:color="auto"/>
              </w:divBdr>
            </w:div>
            <w:div w:id="1298998378">
              <w:marLeft w:val="0"/>
              <w:marRight w:val="0"/>
              <w:marTop w:val="0"/>
              <w:marBottom w:val="0"/>
              <w:divBdr>
                <w:top w:val="none" w:sz="0" w:space="0" w:color="auto"/>
                <w:left w:val="none" w:sz="0" w:space="0" w:color="auto"/>
                <w:bottom w:val="none" w:sz="0" w:space="0" w:color="auto"/>
                <w:right w:val="none" w:sz="0" w:space="0" w:color="auto"/>
              </w:divBdr>
            </w:div>
          </w:divsChild>
        </w:div>
        <w:div w:id="1386833532">
          <w:marLeft w:val="0"/>
          <w:marRight w:val="0"/>
          <w:marTop w:val="0"/>
          <w:marBottom w:val="0"/>
          <w:divBdr>
            <w:top w:val="none" w:sz="0" w:space="0" w:color="auto"/>
            <w:left w:val="none" w:sz="0" w:space="0" w:color="auto"/>
            <w:bottom w:val="none" w:sz="0" w:space="0" w:color="auto"/>
            <w:right w:val="none" w:sz="0" w:space="0" w:color="auto"/>
          </w:divBdr>
        </w:div>
        <w:div w:id="1022319550">
          <w:marLeft w:val="0"/>
          <w:marRight w:val="0"/>
          <w:marTop w:val="0"/>
          <w:marBottom w:val="0"/>
          <w:divBdr>
            <w:top w:val="none" w:sz="0" w:space="0" w:color="auto"/>
            <w:left w:val="none" w:sz="0" w:space="0" w:color="auto"/>
            <w:bottom w:val="none" w:sz="0" w:space="0" w:color="auto"/>
            <w:right w:val="none" w:sz="0" w:space="0" w:color="auto"/>
          </w:divBdr>
          <w:divsChild>
            <w:div w:id="1435829244">
              <w:marLeft w:val="0"/>
              <w:marRight w:val="0"/>
              <w:marTop w:val="0"/>
              <w:marBottom w:val="0"/>
              <w:divBdr>
                <w:top w:val="none" w:sz="0" w:space="0" w:color="auto"/>
                <w:left w:val="none" w:sz="0" w:space="0" w:color="auto"/>
                <w:bottom w:val="none" w:sz="0" w:space="0" w:color="auto"/>
                <w:right w:val="none" w:sz="0" w:space="0" w:color="auto"/>
              </w:divBdr>
            </w:div>
            <w:div w:id="1392655019">
              <w:marLeft w:val="0"/>
              <w:marRight w:val="0"/>
              <w:marTop w:val="0"/>
              <w:marBottom w:val="0"/>
              <w:divBdr>
                <w:top w:val="none" w:sz="0" w:space="0" w:color="auto"/>
                <w:left w:val="none" w:sz="0" w:space="0" w:color="auto"/>
                <w:bottom w:val="none" w:sz="0" w:space="0" w:color="auto"/>
                <w:right w:val="none" w:sz="0" w:space="0" w:color="auto"/>
              </w:divBdr>
            </w:div>
          </w:divsChild>
        </w:div>
        <w:div w:id="563763867">
          <w:marLeft w:val="0"/>
          <w:marRight w:val="0"/>
          <w:marTop w:val="0"/>
          <w:marBottom w:val="0"/>
          <w:divBdr>
            <w:top w:val="none" w:sz="0" w:space="0" w:color="auto"/>
            <w:left w:val="none" w:sz="0" w:space="0" w:color="auto"/>
            <w:bottom w:val="none" w:sz="0" w:space="0" w:color="auto"/>
            <w:right w:val="none" w:sz="0" w:space="0" w:color="auto"/>
          </w:divBdr>
        </w:div>
        <w:div w:id="1810393788">
          <w:marLeft w:val="0"/>
          <w:marRight w:val="0"/>
          <w:marTop w:val="0"/>
          <w:marBottom w:val="0"/>
          <w:divBdr>
            <w:top w:val="none" w:sz="0" w:space="0" w:color="auto"/>
            <w:left w:val="none" w:sz="0" w:space="0" w:color="auto"/>
            <w:bottom w:val="none" w:sz="0" w:space="0" w:color="auto"/>
            <w:right w:val="none" w:sz="0" w:space="0" w:color="auto"/>
          </w:divBdr>
          <w:divsChild>
            <w:div w:id="101653130">
              <w:marLeft w:val="0"/>
              <w:marRight w:val="0"/>
              <w:marTop w:val="0"/>
              <w:marBottom w:val="0"/>
              <w:divBdr>
                <w:top w:val="none" w:sz="0" w:space="0" w:color="auto"/>
                <w:left w:val="none" w:sz="0" w:space="0" w:color="auto"/>
                <w:bottom w:val="none" w:sz="0" w:space="0" w:color="auto"/>
                <w:right w:val="none" w:sz="0" w:space="0" w:color="auto"/>
              </w:divBdr>
            </w:div>
            <w:div w:id="1030032588">
              <w:marLeft w:val="0"/>
              <w:marRight w:val="0"/>
              <w:marTop w:val="0"/>
              <w:marBottom w:val="0"/>
              <w:divBdr>
                <w:top w:val="none" w:sz="0" w:space="0" w:color="auto"/>
                <w:left w:val="none" w:sz="0" w:space="0" w:color="auto"/>
                <w:bottom w:val="none" w:sz="0" w:space="0" w:color="auto"/>
                <w:right w:val="none" w:sz="0" w:space="0" w:color="auto"/>
              </w:divBdr>
            </w:div>
          </w:divsChild>
        </w:div>
        <w:div w:id="1612854024">
          <w:marLeft w:val="0"/>
          <w:marRight w:val="0"/>
          <w:marTop w:val="0"/>
          <w:marBottom w:val="0"/>
          <w:divBdr>
            <w:top w:val="none" w:sz="0" w:space="0" w:color="auto"/>
            <w:left w:val="none" w:sz="0" w:space="0" w:color="auto"/>
            <w:bottom w:val="none" w:sz="0" w:space="0" w:color="auto"/>
            <w:right w:val="none" w:sz="0" w:space="0" w:color="auto"/>
          </w:divBdr>
        </w:div>
      </w:divsChild>
    </w:div>
    <w:div w:id="168914235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yperlink" Target="http://library.brown.edu/testzone/images_of_brown/emlen/" TargetMode="External"/><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image" Target="media/image1.png"/><Relationship Id="rId8" Type="http://schemas.openxmlformats.org/officeDocument/2006/relationships/image" Target="media/image2.png"/><Relationship Id="rId9" Type="http://schemas.openxmlformats.org/officeDocument/2006/relationships/image" Target="media/image3.png"/><Relationship Id="rId10"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4E30B2B6-0064-5B41-8633-B45EB013AF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170</TotalTime>
  <Pages>9</Pages>
  <Words>1609</Words>
  <Characters>8275</Characters>
  <Application>Microsoft Macintosh Word</Application>
  <DocSecurity>0</DocSecurity>
  <Lines>129</Lines>
  <Paragraphs>17</Paragraphs>
  <ScaleCrop>false</ScaleCrop>
  <Company/>
  <LinksUpToDate>false</LinksUpToDate>
  <CharactersWithSpaces>9867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Thompson</dc:creator>
  <cp:keywords/>
  <dc:description/>
  <cp:lastModifiedBy>Christopher Thompson</cp:lastModifiedBy>
  <cp:revision>8</cp:revision>
  <dcterms:created xsi:type="dcterms:W3CDTF">2012-09-19T05:35:00Z</dcterms:created>
  <dcterms:modified xsi:type="dcterms:W3CDTF">2012-09-19T22:11:00Z</dcterms:modified>
</cp:coreProperties>
</file>