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0A" w:rsidRPr="00E164DE" w:rsidRDefault="00E164DE" w:rsidP="00E164DE">
      <w:pPr>
        <w:spacing w:line="360" w:lineRule="auto"/>
        <w:rPr>
          <w:b/>
          <w:sz w:val="24"/>
          <w:szCs w:val="24"/>
        </w:rPr>
      </w:pPr>
      <w:proofErr w:type="spellStart"/>
      <w:r>
        <w:rPr>
          <w:b/>
          <w:sz w:val="24"/>
          <w:szCs w:val="24"/>
        </w:rPr>
        <w:t>JTroche</w:t>
      </w:r>
      <w:proofErr w:type="spellEnd"/>
      <w:r>
        <w:rPr>
          <w:b/>
          <w:sz w:val="24"/>
          <w:szCs w:val="24"/>
        </w:rPr>
        <w:t xml:space="preserve">: </w:t>
      </w:r>
      <w:proofErr w:type="spellStart"/>
      <w:r w:rsidR="001C72EC" w:rsidRPr="00E164DE">
        <w:rPr>
          <w:b/>
          <w:sz w:val="24"/>
          <w:szCs w:val="24"/>
        </w:rPr>
        <w:t>Török</w:t>
      </w:r>
      <w:proofErr w:type="spellEnd"/>
      <w:r w:rsidR="00824CD0" w:rsidRPr="00E164DE">
        <w:rPr>
          <w:b/>
          <w:sz w:val="24"/>
          <w:szCs w:val="24"/>
        </w:rPr>
        <w:t xml:space="preserve"> (1999)</w:t>
      </w:r>
      <w:r w:rsidR="001C72EC" w:rsidRPr="00E164DE">
        <w:rPr>
          <w:b/>
          <w:sz w:val="24"/>
          <w:szCs w:val="24"/>
        </w:rPr>
        <w:t xml:space="preserve"> On the Foundations of Kingship Ideology in the Empire of Kush</w:t>
      </w:r>
    </w:p>
    <w:p w:rsidR="00DD0537" w:rsidRPr="00E164DE" w:rsidRDefault="00DD0537" w:rsidP="00E164DE">
      <w:pPr>
        <w:spacing w:line="360" w:lineRule="auto"/>
        <w:rPr>
          <w:sz w:val="24"/>
          <w:szCs w:val="24"/>
        </w:rPr>
      </w:pPr>
    </w:p>
    <w:p w:rsidR="00824CD0" w:rsidRPr="00E164DE" w:rsidRDefault="007D58CE" w:rsidP="00E164DE">
      <w:pPr>
        <w:spacing w:line="360" w:lineRule="auto"/>
        <w:ind w:firstLine="720"/>
        <w:rPr>
          <w:sz w:val="24"/>
          <w:szCs w:val="24"/>
        </w:rPr>
      </w:pPr>
      <w:proofErr w:type="spellStart"/>
      <w:r w:rsidRPr="00E164DE">
        <w:rPr>
          <w:sz w:val="24"/>
          <w:szCs w:val="24"/>
        </w:rPr>
        <w:t>Török</w:t>
      </w:r>
      <w:proofErr w:type="spellEnd"/>
      <w:r w:rsidRPr="00E164DE">
        <w:rPr>
          <w:b/>
          <w:sz w:val="24"/>
          <w:szCs w:val="24"/>
        </w:rPr>
        <w:t xml:space="preserve">  </w:t>
      </w:r>
      <w:r w:rsidRPr="00E164DE">
        <w:rPr>
          <w:sz w:val="24"/>
          <w:szCs w:val="24"/>
        </w:rPr>
        <w:t>opens by</w:t>
      </w:r>
      <w:r w:rsidRPr="00E164DE">
        <w:rPr>
          <w:b/>
          <w:sz w:val="24"/>
          <w:szCs w:val="24"/>
        </w:rPr>
        <w:t xml:space="preserve"> </w:t>
      </w:r>
      <w:r w:rsidRPr="00E164DE">
        <w:rPr>
          <w:sz w:val="24"/>
          <w:szCs w:val="24"/>
        </w:rPr>
        <w:t>discussing the</w:t>
      </w:r>
      <w:r w:rsidRPr="00E164DE">
        <w:rPr>
          <w:b/>
          <w:sz w:val="24"/>
          <w:szCs w:val="24"/>
        </w:rPr>
        <w:t xml:space="preserve"> </w:t>
      </w:r>
      <w:r w:rsidRPr="00E164DE">
        <w:rPr>
          <w:sz w:val="24"/>
          <w:szCs w:val="24"/>
        </w:rPr>
        <w:t>scholarly</w:t>
      </w:r>
      <w:r w:rsidRPr="00E164DE">
        <w:rPr>
          <w:b/>
          <w:sz w:val="24"/>
          <w:szCs w:val="24"/>
        </w:rPr>
        <w:t xml:space="preserve"> </w:t>
      </w:r>
      <w:r w:rsidR="00DD0537" w:rsidRPr="00E164DE">
        <w:rPr>
          <w:sz w:val="24"/>
          <w:szCs w:val="24"/>
        </w:rPr>
        <w:t xml:space="preserve">tendency to hold onto outdated interpretations of things like kingship. This is </w:t>
      </w:r>
      <w:proofErr w:type="spellStart"/>
      <w:r w:rsidR="00DD0537" w:rsidRPr="00E164DE">
        <w:rPr>
          <w:sz w:val="24"/>
          <w:szCs w:val="24"/>
        </w:rPr>
        <w:t>Morkot’</w:t>
      </w:r>
      <w:r w:rsidRPr="00E164DE">
        <w:rPr>
          <w:sz w:val="24"/>
          <w:szCs w:val="24"/>
        </w:rPr>
        <w:t>s</w:t>
      </w:r>
      <w:proofErr w:type="spellEnd"/>
      <w:r w:rsidRPr="00E164DE">
        <w:rPr>
          <w:sz w:val="24"/>
          <w:szCs w:val="24"/>
        </w:rPr>
        <w:t xml:space="preserve"> main criticism. W</w:t>
      </w:r>
      <w:r w:rsidR="00FB4AB4" w:rsidRPr="00E164DE">
        <w:rPr>
          <w:sz w:val="24"/>
          <w:szCs w:val="24"/>
        </w:rPr>
        <w:t>hile we do not fully understand pre-</w:t>
      </w:r>
      <w:proofErr w:type="spellStart"/>
      <w:r w:rsidR="00FB4AB4" w:rsidRPr="00E164DE">
        <w:rPr>
          <w:sz w:val="24"/>
          <w:szCs w:val="24"/>
        </w:rPr>
        <w:t>Kushite</w:t>
      </w:r>
      <w:proofErr w:type="spellEnd"/>
      <w:r w:rsidR="00FB4AB4" w:rsidRPr="00E164DE">
        <w:rPr>
          <w:sz w:val="24"/>
          <w:szCs w:val="24"/>
        </w:rPr>
        <w:t xml:space="preserve"> kingship, we can observe distinctive non-Egyptian elements</w:t>
      </w:r>
      <w:r w:rsidRPr="00E164DE">
        <w:rPr>
          <w:sz w:val="24"/>
          <w:szCs w:val="24"/>
        </w:rPr>
        <w:t xml:space="preserve">. </w:t>
      </w:r>
      <w:proofErr w:type="spellStart"/>
      <w:r w:rsidR="007E49FC" w:rsidRPr="00E164DE">
        <w:rPr>
          <w:sz w:val="24"/>
          <w:szCs w:val="24"/>
        </w:rPr>
        <w:t>Kushite</w:t>
      </w:r>
      <w:proofErr w:type="spellEnd"/>
      <w:r w:rsidR="007E49FC" w:rsidRPr="00E164DE">
        <w:rPr>
          <w:sz w:val="24"/>
          <w:szCs w:val="24"/>
        </w:rPr>
        <w:t xml:space="preserve"> kingship was traditionally</w:t>
      </w:r>
      <w:r w:rsidRPr="00E164DE">
        <w:rPr>
          <w:sz w:val="24"/>
          <w:szCs w:val="24"/>
        </w:rPr>
        <w:t>, and narrowly,</w:t>
      </w:r>
      <w:r w:rsidR="007E49FC" w:rsidRPr="00E164DE">
        <w:rPr>
          <w:sz w:val="24"/>
          <w:szCs w:val="24"/>
        </w:rPr>
        <w:t xml:space="preserve"> seen as sharing Egyptian ideology, with its differences “explained as consequences of a process of  intellectual decline caused by increasing isolation” (273). </w:t>
      </w:r>
      <w:r w:rsidRPr="00E164DE">
        <w:rPr>
          <w:sz w:val="24"/>
          <w:szCs w:val="24"/>
        </w:rPr>
        <w:t xml:space="preserve"> </w:t>
      </w:r>
      <w:r w:rsidR="00824CD0" w:rsidRPr="00E164DE">
        <w:rPr>
          <w:sz w:val="24"/>
          <w:szCs w:val="24"/>
        </w:rPr>
        <w:t xml:space="preserve">Scholars tend to approach the material in two ways: from the Egyptian perspective, largely ignoring the differences found, or those scholars of Kush looking at the indigenous aspects. But, </w:t>
      </w:r>
      <w:proofErr w:type="spellStart"/>
      <w:r w:rsidR="00DA1BF5" w:rsidRPr="00E164DE">
        <w:rPr>
          <w:sz w:val="24"/>
          <w:szCs w:val="24"/>
        </w:rPr>
        <w:t>Török</w:t>
      </w:r>
      <w:proofErr w:type="spellEnd"/>
      <w:r w:rsidR="00DA1BF5" w:rsidRPr="00E164DE">
        <w:rPr>
          <w:b/>
          <w:sz w:val="24"/>
          <w:szCs w:val="24"/>
        </w:rPr>
        <w:t xml:space="preserve"> </w:t>
      </w:r>
      <w:r w:rsidR="00824CD0" w:rsidRPr="00E164DE">
        <w:rPr>
          <w:sz w:val="24"/>
          <w:szCs w:val="24"/>
        </w:rPr>
        <w:t xml:space="preserve">comments, there has yet to be a comprehensive analysis of the textual and iconographic evidence. </w:t>
      </w:r>
      <w:proofErr w:type="spellStart"/>
      <w:r w:rsidR="00DA1BF5" w:rsidRPr="00E164DE">
        <w:rPr>
          <w:sz w:val="24"/>
          <w:szCs w:val="24"/>
        </w:rPr>
        <w:t>Török</w:t>
      </w:r>
      <w:proofErr w:type="spellEnd"/>
      <w:r w:rsidR="00DA1BF5" w:rsidRPr="00E164DE">
        <w:rPr>
          <w:b/>
          <w:sz w:val="24"/>
          <w:szCs w:val="24"/>
        </w:rPr>
        <w:t xml:space="preserve"> </w:t>
      </w:r>
      <w:r w:rsidR="00824CD0" w:rsidRPr="00E164DE">
        <w:rPr>
          <w:sz w:val="24"/>
          <w:szCs w:val="24"/>
        </w:rPr>
        <w:t xml:space="preserve">complements </w:t>
      </w:r>
      <w:proofErr w:type="spellStart"/>
      <w:r w:rsidR="00824CD0" w:rsidRPr="00E164DE">
        <w:rPr>
          <w:sz w:val="24"/>
          <w:szCs w:val="24"/>
        </w:rPr>
        <w:t>Morkot’s</w:t>
      </w:r>
      <w:proofErr w:type="spellEnd"/>
      <w:r w:rsidR="00824CD0" w:rsidRPr="00E164DE">
        <w:rPr>
          <w:sz w:val="24"/>
          <w:szCs w:val="24"/>
        </w:rPr>
        <w:t xml:space="preserve"> </w:t>
      </w:r>
      <w:r w:rsidR="00DA1BF5" w:rsidRPr="00E164DE">
        <w:rPr>
          <w:sz w:val="24"/>
          <w:szCs w:val="24"/>
        </w:rPr>
        <w:t xml:space="preserve">analysis and offers his own to further the discussion. </w:t>
      </w:r>
    </w:p>
    <w:p w:rsidR="00C0715E" w:rsidRPr="00E164DE" w:rsidRDefault="00C0715E" w:rsidP="00E164DE">
      <w:pPr>
        <w:spacing w:line="360" w:lineRule="auto"/>
        <w:rPr>
          <w:sz w:val="24"/>
          <w:szCs w:val="24"/>
        </w:rPr>
      </w:pPr>
    </w:p>
    <w:p w:rsidR="00E0570F" w:rsidRPr="00E164DE" w:rsidRDefault="00E164DE" w:rsidP="00E164DE">
      <w:pPr>
        <w:spacing w:line="360" w:lineRule="auto"/>
        <w:ind w:firstLine="720"/>
        <w:rPr>
          <w:sz w:val="24"/>
          <w:szCs w:val="24"/>
        </w:rPr>
      </w:pPr>
      <w:r w:rsidRPr="00E164DE">
        <w:rPr>
          <w:sz w:val="24"/>
          <w:szCs w:val="24"/>
        </w:rPr>
        <w:t>S</w:t>
      </w:r>
      <w:r w:rsidR="00C0715E" w:rsidRPr="00E164DE">
        <w:rPr>
          <w:sz w:val="24"/>
          <w:szCs w:val="24"/>
        </w:rPr>
        <w:t xml:space="preserve">uccession is ideologically founded and key to understanding how the institution of kingship is imagined. In Egypt this symbolically continual line of succession began with the gods and continued through those who held the throne. In </w:t>
      </w:r>
      <w:proofErr w:type="spellStart"/>
      <w:r w:rsidR="00C0715E" w:rsidRPr="00E164DE">
        <w:rPr>
          <w:sz w:val="24"/>
          <w:szCs w:val="24"/>
        </w:rPr>
        <w:t>Kushite</w:t>
      </w:r>
      <w:proofErr w:type="spellEnd"/>
      <w:r w:rsidR="00C0715E" w:rsidRPr="00E164DE">
        <w:rPr>
          <w:sz w:val="24"/>
          <w:szCs w:val="24"/>
        </w:rPr>
        <w:t xml:space="preserve"> ideology continuity was similarly emphasized as descending from </w:t>
      </w:r>
      <w:proofErr w:type="spellStart"/>
      <w:r w:rsidR="00C0715E" w:rsidRPr="00E164DE">
        <w:rPr>
          <w:sz w:val="24"/>
          <w:szCs w:val="24"/>
        </w:rPr>
        <w:t>Alara</w:t>
      </w:r>
      <w:proofErr w:type="spellEnd"/>
      <w:r w:rsidR="00C0715E" w:rsidRPr="00E164DE">
        <w:rPr>
          <w:sz w:val="24"/>
          <w:szCs w:val="24"/>
        </w:rPr>
        <w:t xml:space="preserve">. </w:t>
      </w:r>
      <w:r w:rsidR="00C17D37" w:rsidRPr="00E164DE">
        <w:rPr>
          <w:sz w:val="24"/>
          <w:szCs w:val="24"/>
        </w:rPr>
        <w:t>The precise lines of succession are not entirely understood though. Three main theories exist: matrilinea</w:t>
      </w:r>
      <w:r w:rsidR="007D58CE" w:rsidRPr="00E164DE">
        <w:rPr>
          <w:sz w:val="24"/>
          <w:szCs w:val="24"/>
        </w:rPr>
        <w:t>l</w:t>
      </w:r>
      <w:r w:rsidR="00C17D37" w:rsidRPr="00E164DE">
        <w:rPr>
          <w:sz w:val="24"/>
          <w:szCs w:val="24"/>
        </w:rPr>
        <w:t xml:space="preserve">, </w:t>
      </w:r>
      <w:proofErr w:type="spellStart"/>
      <w:r w:rsidR="00C17D37" w:rsidRPr="00E164DE">
        <w:rPr>
          <w:sz w:val="24"/>
          <w:szCs w:val="24"/>
        </w:rPr>
        <w:t>patrilinea</w:t>
      </w:r>
      <w:r w:rsidR="007D58CE" w:rsidRPr="00E164DE">
        <w:rPr>
          <w:sz w:val="24"/>
          <w:szCs w:val="24"/>
        </w:rPr>
        <w:t>l</w:t>
      </w:r>
      <w:proofErr w:type="spellEnd"/>
      <w:r w:rsidR="00C17D37" w:rsidRPr="00E164DE">
        <w:rPr>
          <w:sz w:val="24"/>
          <w:szCs w:val="24"/>
        </w:rPr>
        <w:t xml:space="preserve">, and collateral. </w:t>
      </w:r>
      <w:r w:rsidR="009C292C" w:rsidRPr="00E164DE">
        <w:rPr>
          <w:sz w:val="24"/>
          <w:szCs w:val="24"/>
        </w:rPr>
        <w:t>In reality succession was probably mixed and based to some degree on an election amongst potential royal candidates like princes (274</w:t>
      </w:r>
      <w:r w:rsidR="005178DC" w:rsidRPr="00E164DE">
        <w:rPr>
          <w:sz w:val="24"/>
          <w:szCs w:val="24"/>
        </w:rPr>
        <w:t>-6</w:t>
      </w:r>
      <w:r w:rsidR="009C292C" w:rsidRPr="00E164DE">
        <w:rPr>
          <w:sz w:val="24"/>
          <w:szCs w:val="24"/>
        </w:rPr>
        <w:t xml:space="preserve">).  </w:t>
      </w:r>
      <w:r w:rsidR="00E0570F" w:rsidRPr="00E164DE">
        <w:rPr>
          <w:sz w:val="24"/>
          <w:szCs w:val="24"/>
        </w:rPr>
        <w:t xml:space="preserve">Some Classical authors describe the election of a </w:t>
      </w:r>
      <w:proofErr w:type="spellStart"/>
      <w:r w:rsidR="00E0570F" w:rsidRPr="00E164DE">
        <w:rPr>
          <w:sz w:val="24"/>
          <w:szCs w:val="24"/>
        </w:rPr>
        <w:t>Kushite</w:t>
      </w:r>
      <w:proofErr w:type="spellEnd"/>
      <w:r w:rsidR="00E0570F" w:rsidRPr="00E164DE">
        <w:rPr>
          <w:sz w:val="24"/>
          <w:szCs w:val="24"/>
        </w:rPr>
        <w:t xml:space="preserve"> king. Royal texts, rather, describe the appointment of the king by the god Amun. </w:t>
      </w:r>
      <w:proofErr w:type="spellStart"/>
      <w:r w:rsidR="00E0570F" w:rsidRPr="00E164DE">
        <w:rPr>
          <w:sz w:val="24"/>
          <w:szCs w:val="24"/>
        </w:rPr>
        <w:t>Török</w:t>
      </w:r>
      <w:proofErr w:type="spellEnd"/>
      <w:r w:rsidR="00E0570F" w:rsidRPr="00E164DE">
        <w:rPr>
          <w:sz w:val="24"/>
          <w:szCs w:val="24"/>
        </w:rPr>
        <w:t xml:space="preserve"> describes this as a “dramatically construed and described </w:t>
      </w:r>
      <w:r w:rsidR="00E0570F" w:rsidRPr="00E164DE">
        <w:rPr>
          <w:i/>
          <w:sz w:val="24"/>
          <w:szCs w:val="24"/>
        </w:rPr>
        <w:t>demonstration of legitimacy</w:t>
      </w:r>
      <w:r w:rsidR="00E0570F" w:rsidRPr="00E164DE">
        <w:rPr>
          <w:sz w:val="24"/>
          <w:szCs w:val="24"/>
        </w:rPr>
        <w:t xml:space="preserve">” (277, italics by author). </w:t>
      </w:r>
      <w:r w:rsidR="00901753" w:rsidRPr="00E164DE">
        <w:rPr>
          <w:sz w:val="24"/>
          <w:szCs w:val="24"/>
        </w:rPr>
        <w:t xml:space="preserve"> This ritual </w:t>
      </w:r>
      <w:proofErr w:type="spellStart"/>
      <w:r w:rsidR="00901753" w:rsidRPr="00E164DE">
        <w:rPr>
          <w:sz w:val="24"/>
          <w:szCs w:val="24"/>
        </w:rPr>
        <w:t>Török</w:t>
      </w:r>
      <w:proofErr w:type="spellEnd"/>
      <w:r w:rsidR="00901753" w:rsidRPr="00E164DE">
        <w:rPr>
          <w:sz w:val="24"/>
          <w:szCs w:val="24"/>
        </w:rPr>
        <w:t xml:space="preserve"> argues originates in New Kingdom Theban  practices with influence of the Third Intermediate Period’s theology of will (277). </w:t>
      </w:r>
    </w:p>
    <w:p w:rsidR="008C499A" w:rsidRPr="00E164DE" w:rsidRDefault="008C499A" w:rsidP="00E164DE">
      <w:pPr>
        <w:spacing w:line="360" w:lineRule="auto"/>
        <w:rPr>
          <w:sz w:val="24"/>
          <w:szCs w:val="24"/>
        </w:rPr>
      </w:pPr>
    </w:p>
    <w:p w:rsidR="00911349" w:rsidRDefault="008C499A" w:rsidP="00E164DE">
      <w:pPr>
        <w:spacing w:line="360" w:lineRule="auto"/>
        <w:ind w:firstLine="720"/>
        <w:rPr>
          <w:sz w:val="24"/>
          <w:szCs w:val="24"/>
        </w:rPr>
      </w:pPr>
      <w:r w:rsidRPr="00E164DE">
        <w:rPr>
          <w:sz w:val="24"/>
          <w:szCs w:val="24"/>
        </w:rPr>
        <w:t xml:space="preserve">Another tool of legitimacy was the role of king as divine son, or what </w:t>
      </w:r>
      <w:proofErr w:type="spellStart"/>
      <w:r w:rsidRPr="00E164DE">
        <w:rPr>
          <w:sz w:val="24"/>
          <w:szCs w:val="24"/>
        </w:rPr>
        <w:t>Török</w:t>
      </w:r>
      <w:proofErr w:type="spellEnd"/>
      <w:r w:rsidRPr="00E164DE">
        <w:rPr>
          <w:sz w:val="24"/>
          <w:szCs w:val="24"/>
        </w:rPr>
        <w:t xml:space="preserve"> calls ‘divine </w:t>
      </w:r>
      <w:proofErr w:type="spellStart"/>
      <w:r w:rsidRPr="00E164DE">
        <w:rPr>
          <w:sz w:val="24"/>
          <w:szCs w:val="24"/>
        </w:rPr>
        <w:t>sonship</w:t>
      </w:r>
      <w:proofErr w:type="spellEnd"/>
      <w:r w:rsidRPr="00E164DE">
        <w:rPr>
          <w:sz w:val="24"/>
          <w:szCs w:val="24"/>
        </w:rPr>
        <w:t>.’ This also can have its origins traced back to the Egyptian New Kingdom, the ritual endowment of the royal ka</w:t>
      </w:r>
      <w:r w:rsidR="00470A9A" w:rsidRPr="00E164DE">
        <w:rPr>
          <w:sz w:val="24"/>
          <w:szCs w:val="24"/>
        </w:rPr>
        <w:t xml:space="preserve"> and the </w:t>
      </w:r>
      <w:proofErr w:type="spellStart"/>
      <w:r w:rsidR="00470A9A" w:rsidRPr="00E164DE">
        <w:rPr>
          <w:sz w:val="24"/>
          <w:szCs w:val="24"/>
        </w:rPr>
        <w:t>Kushite</w:t>
      </w:r>
      <w:proofErr w:type="spellEnd"/>
      <w:r w:rsidR="00470A9A" w:rsidRPr="00E164DE">
        <w:rPr>
          <w:sz w:val="24"/>
          <w:szCs w:val="24"/>
        </w:rPr>
        <w:t xml:space="preserve"> story of </w:t>
      </w:r>
      <w:proofErr w:type="spellStart"/>
      <w:r w:rsidR="00470A9A" w:rsidRPr="00E164DE">
        <w:rPr>
          <w:sz w:val="24"/>
          <w:szCs w:val="24"/>
        </w:rPr>
        <w:t>Piye’s</w:t>
      </w:r>
      <w:proofErr w:type="spellEnd"/>
      <w:r w:rsidR="00470A9A" w:rsidRPr="00E164DE">
        <w:rPr>
          <w:sz w:val="24"/>
          <w:szCs w:val="24"/>
        </w:rPr>
        <w:t xml:space="preserve"> encounter with Re at </w:t>
      </w:r>
      <w:proofErr w:type="spellStart"/>
      <w:r w:rsidR="00470A9A" w:rsidRPr="00E164DE">
        <w:rPr>
          <w:sz w:val="24"/>
          <w:szCs w:val="24"/>
        </w:rPr>
        <w:t>Heliopolois</w:t>
      </w:r>
      <w:proofErr w:type="spellEnd"/>
      <w:r w:rsidR="00470A9A" w:rsidRPr="00E164DE">
        <w:rPr>
          <w:sz w:val="24"/>
          <w:szCs w:val="24"/>
        </w:rPr>
        <w:t xml:space="preserve">. </w:t>
      </w:r>
      <w:r w:rsidR="00911349" w:rsidRPr="00E164DE">
        <w:rPr>
          <w:sz w:val="24"/>
          <w:szCs w:val="24"/>
        </w:rPr>
        <w:t xml:space="preserve">A point of debate has been the role of women in legitimizing </w:t>
      </w:r>
      <w:proofErr w:type="spellStart"/>
      <w:r w:rsidR="00911349" w:rsidRPr="00E164DE">
        <w:rPr>
          <w:sz w:val="24"/>
          <w:szCs w:val="24"/>
        </w:rPr>
        <w:t>Kushite</w:t>
      </w:r>
      <w:proofErr w:type="spellEnd"/>
      <w:r w:rsidR="00911349" w:rsidRPr="00E164DE">
        <w:rPr>
          <w:sz w:val="24"/>
          <w:szCs w:val="24"/>
        </w:rPr>
        <w:t xml:space="preserve"> kingship. Indeed, a potential mode of succession has been identified as matrilineal.  However, </w:t>
      </w:r>
      <w:proofErr w:type="spellStart"/>
      <w:r w:rsidR="00911349" w:rsidRPr="00E164DE">
        <w:rPr>
          <w:sz w:val="24"/>
          <w:szCs w:val="24"/>
        </w:rPr>
        <w:t>Török</w:t>
      </w:r>
      <w:proofErr w:type="spellEnd"/>
      <w:r w:rsidR="00911349" w:rsidRPr="00E164DE">
        <w:rPr>
          <w:sz w:val="24"/>
          <w:szCs w:val="24"/>
        </w:rPr>
        <w:t xml:space="preserve"> seems to argue that “legitimacy is not conveyed by female ancestors – the </w:t>
      </w:r>
      <w:proofErr w:type="spellStart"/>
      <w:r w:rsidR="00911349" w:rsidRPr="00E164DE">
        <w:rPr>
          <w:sz w:val="24"/>
          <w:szCs w:val="24"/>
        </w:rPr>
        <w:t>matrilinear</w:t>
      </w:r>
      <w:proofErr w:type="spellEnd"/>
      <w:r w:rsidR="00911349" w:rsidRPr="00E164DE">
        <w:rPr>
          <w:sz w:val="24"/>
          <w:szCs w:val="24"/>
        </w:rPr>
        <w:t xml:space="preserve"> aspect occurs as a complementary feature alongside” divine </w:t>
      </w:r>
      <w:proofErr w:type="spellStart"/>
      <w:r w:rsidR="00911349" w:rsidRPr="00E164DE">
        <w:rPr>
          <w:sz w:val="24"/>
          <w:szCs w:val="24"/>
        </w:rPr>
        <w:t>sonship</w:t>
      </w:r>
      <w:proofErr w:type="spellEnd"/>
      <w:r w:rsidR="00911349" w:rsidRPr="00E164DE">
        <w:rPr>
          <w:sz w:val="24"/>
          <w:szCs w:val="24"/>
        </w:rPr>
        <w:t xml:space="preserve"> and </w:t>
      </w:r>
      <w:proofErr w:type="spellStart"/>
      <w:r w:rsidR="00911349" w:rsidRPr="00E164DE">
        <w:rPr>
          <w:sz w:val="24"/>
          <w:szCs w:val="24"/>
        </w:rPr>
        <w:t>patrilinear</w:t>
      </w:r>
      <w:proofErr w:type="spellEnd"/>
      <w:r w:rsidR="00911349" w:rsidRPr="00E164DE">
        <w:rPr>
          <w:sz w:val="24"/>
          <w:szCs w:val="24"/>
        </w:rPr>
        <w:t xml:space="preserve"> succession. Notably, </w:t>
      </w:r>
      <w:proofErr w:type="spellStart"/>
      <w:r w:rsidR="00911349" w:rsidRPr="00E164DE">
        <w:rPr>
          <w:sz w:val="24"/>
          <w:szCs w:val="24"/>
        </w:rPr>
        <w:t>Khensa</w:t>
      </w:r>
      <w:proofErr w:type="spellEnd"/>
      <w:r w:rsidR="00911349" w:rsidRPr="00E164DE">
        <w:rPr>
          <w:sz w:val="24"/>
          <w:szCs w:val="24"/>
        </w:rPr>
        <w:t xml:space="preserve"> </w:t>
      </w:r>
      <w:r w:rsidR="00911349" w:rsidRPr="00E164DE">
        <w:rPr>
          <w:sz w:val="24"/>
          <w:szCs w:val="24"/>
        </w:rPr>
        <w:lastRenderedPageBreak/>
        <w:t xml:space="preserve">was believed to </w:t>
      </w:r>
      <w:r w:rsidR="00386219" w:rsidRPr="00E164DE">
        <w:rPr>
          <w:sz w:val="24"/>
          <w:szCs w:val="24"/>
        </w:rPr>
        <w:t xml:space="preserve">be predestined to be the mother of the rightful king and as such the legitimate line of succession. </w:t>
      </w:r>
      <w:proofErr w:type="spellStart"/>
      <w:r w:rsidR="00386219" w:rsidRPr="00E164DE">
        <w:rPr>
          <w:sz w:val="24"/>
          <w:szCs w:val="24"/>
        </w:rPr>
        <w:t>Török</w:t>
      </w:r>
      <w:proofErr w:type="spellEnd"/>
      <w:r w:rsidR="00386219" w:rsidRPr="00E164DE">
        <w:rPr>
          <w:sz w:val="24"/>
          <w:szCs w:val="24"/>
        </w:rPr>
        <w:t xml:space="preserve">, though, proposes a different interpretation of this evidence, suggesting that </w:t>
      </w:r>
      <w:proofErr w:type="spellStart"/>
      <w:r w:rsidR="00386219" w:rsidRPr="00E164DE">
        <w:rPr>
          <w:sz w:val="24"/>
          <w:szCs w:val="24"/>
        </w:rPr>
        <w:t>Piye</w:t>
      </w:r>
      <w:proofErr w:type="spellEnd"/>
      <w:r w:rsidR="00386219" w:rsidRPr="00E164DE">
        <w:rPr>
          <w:sz w:val="24"/>
          <w:szCs w:val="24"/>
        </w:rPr>
        <w:t xml:space="preserve">, who was married to </w:t>
      </w:r>
      <w:proofErr w:type="spellStart"/>
      <w:r w:rsidR="00386219" w:rsidRPr="00E164DE">
        <w:rPr>
          <w:sz w:val="24"/>
          <w:szCs w:val="24"/>
        </w:rPr>
        <w:t>Khensa</w:t>
      </w:r>
      <w:proofErr w:type="spellEnd"/>
      <w:r w:rsidR="00386219" w:rsidRPr="00E164DE">
        <w:rPr>
          <w:sz w:val="24"/>
          <w:szCs w:val="24"/>
        </w:rPr>
        <w:t xml:space="preserve">, was indeed predestined to father the rightful line. </w:t>
      </w:r>
      <w:r w:rsidR="00F75AD6" w:rsidRPr="00E164DE">
        <w:rPr>
          <w:sz w:val="24"/>
          <w:szCs w:val="24"/>
        </w:rPr>
        <w:t xml:space="preserve">I was surprised to read this interpretation, as most other scholars I have read seem to fall more favorably on the central role of women in royal </w:t>
      </w:r>
      <w:proofErr w:type="spellStart"/>
      <w:r w:rsidR="00F75AD6" w:rsidRPr="00E164DE">
        <w:rPr>
          <w:sz w:val="24"/>
          <w:szCs w:val="24"/>
        </w:rPr>
        <w:t>Kushite</w:t>
      </w:r>
      <w:proofErr w:type="spellEnd"/>
      <w:r w:rsidR="00F75AD6" w:rsidRPr="00E164DE">
        <w:rPr>
          <w:sz w:val="24"/>
          <w:szCs w:val="24"/>
        </w:rPr>
        <w:t xml:space="preserve"> succession. </w:t>
      </w:r>
    </w:p>
    <w:p w:rsidR="00E164DE" w:rsidRPr="00E164DE" w:rsidRDefault="00E164DE" w:rsidP="00E164DE">
      <w:pPr>
        <w:spacing w:line="360" w:lineRule="auto"/>
        <w:ind w:firstLine="720"/>
        <w:rPr>
          <w:sz w:val="24"/>
          <w:szCs w:val="24"/>
        </w:rPr>
      </w:pPr>
      <w:r>
        <w:rPr>
          <w:sz w:val="24"/>
          <w:szCs w:val="24"/>
        </w:rPr>
        <w:t xml:space="preserve">In general, I found this chapter to be a good investigation into controversial and complex matters related to the nature of </w:t>
      </w:r>
      <w:proofErr w:type="spellStart"/>
      <w:r>
        <w:rPr>
          <w:sz w:val="24"/>
          <w:szCs w:val="24"/>
        </w:rPr>
        <w:t>Kushite</w:t>
      </w:r>
      <w:proofErr w:type="spellEnd"/>
      <w:r>
        <w:rPr>
          <w:sz w:val="24"/>
          <w:szCs w:val="24"/>
        </w:rPr>
        <w:t xml:space="preserve"> royal succession and kingship more broadly. What </w:t>
      </w:r>
      <w:proofErr w:type="spellStart"/>
      <w:r w:rsidRPr="00E164DE">
        <w:rPr>
          <w:sz w:val="24"/>
          <w:szCs w:val="24"/>
        </w:rPr>
        <w:t>Török</w:t>
      </w:r>
      <w:proofErr w:type="spellEnd"/>
      <w:r>
        <w:rPr>
          <w:sz w:val="24"/>
          <w:szCs w:val="24"/>
        </w:rPr>
        <w:t xml:space="preserve"> begins his discussion with is the issue with a lack of a comprehensive analysis of </w:t>
      </w:r>
      <w:proofErr w:type="spellStart"/>
      <w:r>
        <w:rPr>
          <w:sz w:val="24"/>
          <w:szCs w:val="24"/>
        </w:rPr>
        <w:t>Kushite</w:t>
      </w:r>
      <w:proofErr w:type="spellEnd"/>
      <w:r>
        <w:rPr>
          <w:sz w:val="24"/>
          <w:szCs w:val="24"/>
        </w:rPr>
        <w:t xml:space="preserve"> kingship. What I found slightly problematic in this short response by </w:t>
      </w:r>
      <w:proofErr w:type="spellStart"/>
      <w:r w:rsidRPr="00E164DE">
        <w:rPr>
          <w:sz w:val="24"/>
          <w:szCs w:val="24"/>
        </w:rPr>
        <w:t>Török</w:t>
      </w:r>
      <w:proofErr w:type="spellEnd"/>
      <w:r>
        <w:rPr>
          <w:sz w:val="24"/>
          <w:szCs w:val="24"/>
        </w:rPr>
        <w:t xml:space="preserve"> is his general lack of </w:t>
      </w:r>
      <w:r w:rsidR="00F17208">
        <w:rPr>
          <w:sz w:val="24"/>
          <w:szCs w:val="24"/>
        </w:rPr>
        <w:t>explicit</w:t>
      </w:r>
      <w:r>
        <w:rPr>
          <w:sz w:val="24"/>
          <w:szCs w:val="24"/>
        </w:rPr>
        <w:t xml:space="preserve"> discussion of the indigenous aspects of </w:t>
      </w:r>
      <w:proofErr w:type="spellStart"/>
      <w:r>
        <w:rPr>
          <w:sz w:val="24"/>
          <w:szCs w:val="24"/>
        </w:rPr>
        <w:t>Kushite</w:t>
      </w:r>
      <w:proofErr w:type="spellEnd"/>
      <w:r>
        <w:rPr>
          <w:sz w:val="24"/>
          <w:szCs w:val="24"/>
        </w:rPr>
        <w:t xml:space="preserve"> kingship. </w:t>
      </w:r>
      <w:r w:rsidR="00F17208">
        <w:rPr>
          <w:sz w:val="24"/>
          <w:szCs w:val="24"/>
        </w:rPr>
        <w:t xml:space="preserve">While he does indeed look towards </w:t>
      </w:r>
      <w:proofErr w:type="spellStart"/>
      <w:r w:rsidR="00F17208">
        <w:rPr>
          <w:sz w:val="24"/>
          <w:szCs w:val="24"/>
        </w:rPr>
        <w:t>Kushite</w:t>
      </w:r>
      <w:proofErr w:type="spellEnd"/>
      <w:r w:rsidR="00F17208">
        <w:rPr>
          <w:sz w:val="24"/>
          <w:szCs w:val="24"/>
        </w:rPr>
        <w:t xml:space="preserve"> texts and archaeology, he seems to consistently try to identify backwards the Egyptian origin for many of the rituals, practices and ideological concepts. Even if these were to be true, I would appreciate a more informed discussion of the motivations for this transmission and the modes of transmission. </w:t>
      </w:r>
    </w:p>
    <w:sectPr w:rsidR="00E164DE" w:rsidRPr="00E164DE" w:rsidSect="00E3060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D28" w:rsidRDefault="00EB7D28" w:rsidP="00736923">
      <w:r>
        <w:separator/>
      </w:r>
    </w:p>
  </w:endnote>
  <w:endnote w:type="continuationSeparator" w:id="0">
    <w:p w:rsidR="00EB7D28" w:rsidRDefault="00EB7D28" w:rsidP="007369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604604"/>
      <w:docPartObj>
        <w:docPartGallery w:val="Page Numbers (Bottom of Page)"/>
        <w:docPartUnique/>
      </w:docPartObj>
    </w:sdtPr>
    <w:sdtContent>
      <w:p w:rsidR="00736923" w:rsidRDefault="00736923">
        <w:pPr>
          <w:pStyle w:val="Footer"/>
          <w:jc w:val="center"/>
        </w:pPr>
        <w:fldSimple w:instr=" PAGE   \* MERGEFORMAT ">
          <w:r>
            <w:rPr>
              <w:noProof/>
            </w:rPr>
            <w:t>2</w:t>
          </w:r>
        </w:fldSimple>
      </w:p>
    </w:sdtContent>
  </w:sdt>
  <w:p w:rsidR="00736923" w:rsidRDefault="00736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D28" w:rsidRDefault="00EB7D28" w:rsidP="00736923">
      <w:r>
        <w:separator/>
      </w:r>
    </w:p>
  </w:footnote>
  <w:footnote w:type="continuationSeparator" w:id="0">
    <w:p w:rsidR="00EB7D28" w:rsidRDefault="00EB7D28" w:rsidP="007369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C72EC"/>
    <w:rsid w:val="001C72EC"/>
    <w:rsid w:val="00386219"/>
    <w:rsid w:val="00470A9A"/>
    <w:rsid w:val="005178DC"/>
    <w:rsid w:val="006465FF"/>
    <w:rsid w:val="00736923"/>
    <w:rsid w:val="007D58CE"/>
    <w:rsid w:val="007E49FC"/>
    <w:rsid w:val="00824CD0"/>
    <w:rsid w:val="008C499A"/>
    <w:rsid w:val="00901753"/>
    <w:rsid w:val="00911349"/>
    <w:rsid w:val="009C292C"/>
    <w:rsid w:val="00C0715E"/>
    <w:rsid w:val="00C174ED"/>
    <w:rsid w:val="00C17D37"/>
    <w:rsid w:val="00DA1BF5"/>
    <w:rsid w:val="00DD0537"/>
    <w:rsid w:val="00E0570F"/>
    <w:rsid w:val="00E164DE"/>
    <w:rsid w:val="00E3060A"/>
    <w:rsid w:val="00E53D13"/>
    <w:rsid w:val="00EB7D28"/>
    <w:rsid w:val="00F17208"/>
    <w:rsid w:val="00F75AD6"/>
    <w:rsid w:val="00FB4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0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6923"/>
    <w:pPr>
      <w:tabs>
        <w:tab w:val="center" w:pos="4680"/>
        <w:tab w:val="right" w:pos="9360"/>
      </w:tabs>
    </w:pPr>
  </w:style>
  <w:style w:type="character" w:customStyle="1" w:styleId="HeaderChar">
    <w:name w:val="Header Char"/>
    <w:basedOn w:val="DefaultParagraphFont"/>
    <w:link w:val="Header"/>
    <w:uiPriority w:val="99"/>
    <w:semiHidden/>
    <w:rsid w:val="00736923"/>
  </w:style>
  <w:style w:type="paragraph" w:styleId="Footer">
    <w:name w:val="footer"/>
    <w:basedOn w:val="Normal"/>
    <w:link w:val="FooterChar"/>
    <w:uiPriority w:val="99"/>
    <w:unhideWhenUsed/>
    <w:rsid w:val="00736923"/>
    <w:pPr>
      <w:tabs>
        <w:tab w:val="center" w:pos="4680"/>
        <w:tab w:val="right" w:pos="9360"/>
      </w:tabs>
    </w:pPr>
  </w:style>
  <w:style w:type="character" w:customStyle="1" w:styleId="FooterChar">
    <w:name w:val="Footer Char"/>
    <w:basedOn w:val="DefaultParagraphFont"/>
    <w:link w:val="Footer"/>
    <w:uiPriority w:val="99"/>
    <w:rsid w:val="007369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H.</dc:creator>
  <cp:lastModifiedBy>Jackie H. </cp:lastModifiedBy>
  <cp:revision>5</cp:revision>
  <dcterms:created xsi:type="dcterms:W3CDTF">2012-04-08T15:33:00Z</dcterms:created>
  <dcterms:modified xsi:type="dcterms:W3CDTF">2012-04-08T18:37:00Z</dcterms:modified>
</cp:coreProperties>
</file>