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F8" w:rsidRDefault="00E232F8">
      <w:pPr>
        <w:pStyle w:val="BodyText"/>
        <w:ind w:left="102"/>
        <w:rPr>
          <w:sz w:val="20"/>
        </w:rPr>
      </w:pPr>
    </w:p>
    <w:p w:rsidR="00E232F8" w:rsidRDefault="00E232F8">
      <w:pPr>
        <w:pStyle w:val="BodyText"/>
        <w:rPr>
          <w:sz w:val="20"/>
        </w:rPr>
      </w:pPr>
    </w:p>
    <w:p w:rsidR="00E232F8" w:rsidRDefault="00E232F8">
      <w:pPr>
        <w:pStyle w:val="BodyText"/>
        <w:rPr>
          <w:sz w:val="20"/>
        </w:rPr>
      </w:pPr>
    </w:p>
    <w:p w:rsidR="00E232F8" w:rsidRPr="009E5844" w:rsidRDefault="009E5844" w:rsidP="009E5844">
      <w:pPr>
        <w:pStyle w:val="BodyText"/>
        <w:spacing w:before="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5844">
        <w:rPr>
          <w:rFonts w:asciiTheme="minorHAnsi" w:hAnsiTheme="minorHAnsi" w:cstheme="minorHAnsi"/>
          <w:b/>
          <w:sz w:val="28"/>
          <w:szCs w:val="28"/>
        </w:rPr>
        <w:t>Tenure/Tenure Track Recruitment Expense and Reimbursement Guidelines</w:t>
      </w:r>
    </w:p>
    <w:p w:rsidR="009E5844" w:rsidRPr="009E5844" w:rsidRDefault="009E5844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E232F8" w:rsidRPr="009E5844" w:rsidRDefault="009E5844">
      <w:pPr>
        <w:spacing w:before="88"/>
        <w:ind w:left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  <w:r w:rsidR="00781FBB" w:rsidRPr="009E5844">
        <w:rPr>
          <w:rFonts w:asciiTheme="minorHAnsi" w:hAnsiTheme="minorHAnsi" w:cstheme="minorHAnsi"/>
          <w:b/>
        </w:rPr>
        <w:t xml:space="preserve"> Statement of Purpose and Background Information</w:t>
      </w:r>
    </w:p>
    <w:p w:rsidR="00E232F8" w:rsidRPr="009E5844" w:rsidRDefault="00E232F8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E232F8" w:rsidRPr="009E5844" w:rsidRDefault="00781FBB" w:rsidP="009E5844">
      <w:pPr>
        <w:pStyle w:val="Heading2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E5844">
        <w:rPr>
          <w:rFonts w:asciiTheme="minorHAnsi" w:hAnsiTheme="minorHAnsi" w:cstheme="minorHAnsi"/>
          <w:i w:val="0"/>
          <w:sz w:val="22"/>
          <w:szCs w:val="22"/>
        </w:rPr>
        <w:t>Statement of Purpose</w:t>
      </w:r>
      <w:r w:rsidR="009E5844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684158" w:rsidRPr="009E5844" w:rsidRDefault="00781FBB" w:rsidP="00684158">
      <w:pPr>
        <w:pStyle w:val="BodyText"/>
        <w:ind w:left="240"/>
        <w:rPr>
          <w:rFonts w:asciiTheme="minorHAnsi" w:hAnsiTheme="minorHAnsi" w:cstheme="minorHAnsi"/>
          <w:sz w:val="22"/>
          <w:szCs w:val="22"/>
        </w:rPr>
      </w:pPr>
      <w:r w:rsidRPr="009E5844">
        <w:rPr>
          <w:rFonts w:asciiTheme="minorHAnsi" w:hAnsiTheme="minorHAnsi" w:cstheme="minorHAnsi"/>
          <w:sz w:val="22"/>
          <w:szCs w:val="22"/>
        </w:rPr>
        <w:t xml:space="preserve">To provide a detailed set of guidelines for the use of the </w:t>
      </w:r>
      <w:r w:rsidR="00684158" w:rsidRPr="009E5844">
        <w:rPr>
          <w:rFonts w:asciiTheme="minorHAnsi" w:hAnsiTheme="minorHAnsi" w:cstheme="minorHAnsi"/>
          <w:sz w:val="22"/>
          <w:szCs w:val="22"/>
        </w:rPr>
        <w:t>Division’s recruitment funding.</w:t>
      </w:r>
    </w:p>
    <w:p w:rsidR="00684158" w:rsidRPr="009E5844" w:rsidRDefault="00684158" w:rsidP="00684158">
      <w:pPr>
        <w:pStyle w:val="BodyText"/>
        <w:ind w:left="240"/>
        <w:rPr>
          <w:rFonts w:asciiTheme="minorHAnsi" w:hAnsiTheme="minorHAnsi" w:cstheme="minorHAnsi"/>
          <w:sz w:val="22"/>
          <w:szCs w:val="22"/>
        </w:rPr>
      </w:pPr>
    </w:p>
    <w:p w:rsidR="00E232F8" w:rsidRPr="009E5844" w:rsidRDefault="00781FBB" w:rsidP="009E5844">
      <w:pPr>
        <w:pStyle w:val="BodyText"/>
        <w:ind w:left="240"/>
        <w:rPr>
          <w:rFonts w:asciiTheme="minorHAnsi" w:hAnsiTheme="minorHAnsi" w:cstheme="minorHAnsi"/>
          <w:b/>
          <w:i/>
          <w:sz w:val="22"/>
          <w:szCs w:val="22"/>
        </w:rPr>
      </w:pPr>
      <w:r w:rsidRPr="009E5844">
        <w:rPr>
          <w:rFonts w:asciiTheme="minorHAnsi" w:hAnsiTheme="minorHAnsi" w:cstheme="minorHAnsi"/>
          <w:b/>
          <w:sz w:val="22"/>
          <w:szCs w:val="22"/>
        </w:rPr>
        <w:t>Background</w:t>
      </w:r>
      <w:r w:rsidR="009E5844">
        <w:rPr>
          <w:rFonts w:asciiTheme="minorHAnsi" w:hAnsiTheme="minorHAnsi" w:cstheme="minorHAnsi"/>
          <w:b/>
          <w:sz w:val="22"/>
          <w:szCs w:val="22"/>
        </w:rPr>
        <w:t>:</w:t>
      </w:r>
    </w:p>
    <w:p w:rsidR="00E232F8" w:rsidRPr="009E5844" w:rsidRDefault="00781FBB">
      <w:pPr>
        <w:pStyle w:val="BodyText"/>
        <w:ind w:left="240"/>
        <w:rPr>
          <w:rFonts w:asciiTheme="minorHAnsi" w:hAnsiTheme="minorHAnsi" w:cstheme="minorHAnsi"/>
          <w:sz w:val="22"/>
          <w:szCs w:val="22"/>
        </w:rPr>
      </w:pPr>
      <w:r w:rsidRPr="009E5844">
        <w:rPr>
          <w:rFonts w:asciiTheme="minorHAnsi" w:hAnsiTheme="minorHAnsi" w:cstheme="minorHAnsi"/>
          <w:sz w:val="22"/>
          <w:szCs w:val="22"/>
        </w:rPr>
        <w:t>The purpose of the recruitment account is to reimburse departments for costs incurred while recruiting tenure/tenure track faculty to the Division. These costs include:</w:t>
      </w:r>
    </w:p>
    <w:p w:rsidR="00E232F8" w:rsidRPr="009E5844" w:rsidRDefault="00E232F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32F8" w:rsidRPr="009E5844" w:rsidRDefault="00781FBB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hanging="259"/>
        <w:rPr>
          <w:rFonts w:asciiTheme="minorHAnsi" w:hAnsiTheme="minorHAnsi" w:cstheme="minorHAnsi"/>
        </w:rPr>
      </w:pPr>
      <w:r w:rsidRPr="009E5844">
        <w:rPr>
          <w:rFonts w:asciiTheme="minorHAnsi" w:hAnsiTheme="minorHAnsi" w:cstheme="minorHAnsi"/>
        </w:rPr>
        <w:t>Employment</w:t>
      </w:r>
      <w:r w:rsidRPr="009E5844">
        <w:rPr>
          <w:rFonts w:asciiTheme="minorHAnsi" w:hAnsiTheme="minorHAnsi" w:cstheme="minorHAnsi"/>
          <w:spacing w:val="-1"/>
        </w:rPr>
        <w:t xml:space="preserve"> </w:t>
      </w:r>
      <w:r w:rsidRPr="009E5844">
        <w:rPr>
          <w:rFonts w:asciiTheme="minorHAnsi" w:hAnsiTheme="minorHAnsi" w:cstheme="minorHAnsi"/>
        </w:rPr>
        <w:t>ads</w:t>
      </w:r>
    </w:p>
    <w:p w:rsidR="00E232F8" w:rsidRPr="009E5844" w:rsidRDefault="00781FBB">
      <w:pPr>
        <w:pStyle w:val="ListParagraph"/>
        <w:numPr>
          <w:ilvl w:val="0"/>
          <w:numId w:val="1"/>
        </w:numPr>
        <w:tabs>
          <w:tab w:val="left" w:pos="500"/>
        </w:tabs>
        <w:ind w:hanging="259"/>
        <w:rPr>
          <w:rFonts w:asciiTheme="minorHAnsi" w:hAnsiTheme="minorHAnsi" w:cstheme="minorHAnsi"/>
        </w:rPr>
      </w:pPr>
      <w:r w:rsidRPr="009E5844">
        <w:rPr>
          <w:rFonts w:asciiTheme="minorHAnsi" w:hAnsiTheme="minorHAnsi" w:cstheme="minorHAnsi"/>
        </w:rPr>
        <w:t>Candidate travel co</w:t>
      </w:r>
      <w:bookmarkStart w:id="0" w:name="_GoBack"/>
      <w:bookmarkEnd w:id="0"/>
      <w:r w:rsidRPr="009E5844">
        <w:rPr>
          <w:rFonts w:asciiTheme="minorHAnsi" w:hAnsiTheme="minorHAnsi" w:cstheme="minorHAnsi"/>
        </w:rPr>
        <w:t>sts/interview</w:t>
      </w:r>
      <w:r w:rsidRPr="009E5844">
        <w:rPr>
          <w:rFonts w:asciiTheme="minorHAnsi" w:hAnsiTheme="minorHAnsi" w:cstheme="minorHAnsi"/>
          <w:spacing w:val="-2"/>
        </w:rPr>
        <w:t xml:space="preserve"> </w:t>
      </w:r>
      <w:r w:rsidRPr="009E5844">
        <w:rPr>
          <w:rFonts w:asciiTheme="minorHAnsi" w:hAnsiTheme="minorHAnsi" w:cstheme="minorHAnsi"/>
        </w:rPr>
        <w:t>expenses.</w:t>
      </w:r>
    </w:p>
    <w:p w:rsidR="00E232F8" w:rsidRPr="009E5844" w:rsidRDefault="00E232F8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E232F8" w:rsidRPr="009E5844" w:rsidRDefault="00781FBB">
      <w:pPr>
        <w:pStyle w:val="BodyText"/>
        <w:ind w:left="240" w:right="268"/>
        <w:rPr>
          <w:rFonts w:asciiTheme="minorHAnsi" w:hAnsiTheme="minorHAnsi" w:cstheme="minorHAnsi"/>
          <w:sz w:val="22"/>
          <w:szCs w:val="22"/>
        </w:rPr>
      </w:pPr>
      <w:r w:rsidRPr="009E5844">
        <w:rPr>
          <w:rFonts w:asciiTheme="minorHAnsi" w:hAnsiTheme="minorHAnsi" w:cstheme="minorHAnsi"/>
          <w:sz w:val="22"/>
          <w:szCs w:val="22"/>
        </w:rPr>
        <w:t xml:space="preserve">What follows are expense guidelines for the aforementioned costs, and the proper procedures for submitting reimbursement </w:t>
      </w:r>
      <w:r w:rsidR="00684158" w:rsidRPr="009E5844">
        <w:rPr>
          <w:rFonts w:asciiTheme="minorHAnsi" w:hAnsiTheme="minorHAnsi" w:cstheme="minorHAnsi"/>
          <w:sz w:val="22"/>
          <w:szCs w:val="22"/>
        </w:rPr>
        <w:t>in Workday.</w:t>
      </w:r>
    </w:p>
    <w:p w:rsidR="00E232F8" w:rsidRPr="009E5844" w:rsidRDefault="00E232F8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="00E232F8" w:rsidRPr="009E5844" w:rsidRDefault="009E5844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</w:t>
      </w:r>
      <w:r w:rsidR="00781FBB" w:rsidRPr="009E5844">
        <w:rPr>
          <w:rFonts w:asciiTheme="minorHAnsi" w:hAnsiTheme="minorHAnsi" w:cstheme="minorHAnsi"/>
          <w:sz w:val="22"/>
          <w:szCs w:val="22"/>
        </w:rPr>
        <w:t xml:space="preserve"> Expense Reimbursement Guidelines</w:t>
      </w:r>
    </w:p>
    <w:p w:rsidR="00E232F8" w:rsidRPr="009E5844" w:rsidRDefault="00E232F8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E232F8" w:rsidRPr="009E5844" w:rsidRDefault="00781FBB" w:rsidP="009E5844">
      <w:pPr>
        <w:pStyle w:val="Heading2"/>
        <w:spacing w:before="1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E5844">
        <w:rPr>
          <w:rFonts w:asciiTheme="minorHAnsi" w:hAnsiTheme="minorHAnsi" w:cstheme="minorHAnsi"/>
          <w:i w:val="0"/>
          <w:sz w:val="22"/>
          <w:szCs w:val="22"/>
        </w:rPr>
        <w:t>Employment Ad Expenses</w:t>
      </w:r>
      <w:r w:rsidR="009E5844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E232F8" w:rsidRPr="009E5844" w:rsidRDefault="00781FBB">
      <w:pPr>
        <w:pStyle w:val="BodyText"/>
        <w:ind w:left="240" w:right="209"/>
        <w:rPr>
          <w:rFonts w:asciiTheme="minorHAnsi" w:hAnsiTheme="minorHAnsi" w:cstheme="minorHAnsi"/>
          <w:sz w:val="22"/>
          <w:szCs w:val="22"/>
        </w:rPr>
      </w:pPr>
      <w:r w:rsidRPr="009E5844">
        <w:rPr>
          <w:rFonts w:asciiTheme="minorHAnsi" w:hAnsiTheme="minorHAnsi" w:cstheme="minorHAnsi"/>
          <w:sz w:val="22"/>
          <w:szCs w:val="22"/>
        </w:rPr>
        <w:t>The Division covers the costs of employment ads placed for Bio</w:t>
      </w:r>
      <w:r w:rsidR="00684158" w:rsidRPr="009E5844">
        <w:rPr>
          <w:rFonts w:asciiTheme="minorHAnsi" w:hAnsiTheme="minorHAnsi" w:cstheme="minorHAnsi"/>
          <w:sz w:val="22"/>
          <w:szCs w:val="22"/>
        </w:rPr>
        <w:t>logy and Medicine</w:t>
      </w:r>
      <w:r w:rsidRPr="009E5844">
        <w:rPr>
          <w:rFonts w:asciiTheme="minorHAnsi" w:hAnsiTheme="minorHAnsi" w:cstheme="minorHAnsi"/>
          <w:sz w:val="22"/>
          <w:szCs w:val="22"/>
        </w:rPr>
        <w:t xml:space="preserve"> </w:t>
      </w:r>
      <w:r w:rsidR="00684158" w:rsidRPr="009E5844">
        <w:rPr>
          <w:rFonts w:asciiTheme="minorHAnsi" w:hAnsiTheme="minorHAnsi" w:cstheme="minorHAnsi"/>
          <w:sz w:val="22"/>
          <w:szCs w:val="22"/>
        </w:rPr>
        <w:t xml:space="preserve">tenure/tenure track </w:t>
      </w:r>
      <w:r w:rsidRPr="009E5844">
        <w:rPr>
          <w:rFonts w:asciiTheme="minorHAnsi" w:hAnsiTheme="minorHAnsi" w:cstheme="minorHAnsi"/>
          <w:sz w:val="22"/>
          <w:szCs w:val="22"/>
        </w:rPr>
        <w:t xml:space="preserve">faculty searches. The maximum expense allowance for print ads is $5K subject to prior approval from the </w:t>
      </w:r>
      <w:r w:rsidR="00684158" w:rsidRPr="009E5844">
        <w:rPr>
          <w:rFonts w:asciiTheme="minorHAnsi" w:hAnsiTheme="minorHAnsi" w:cstheme="minorHAnsi"/>
          <w:sz w:val="22"/>
          <w:szCs w:val="22"/>
        </w:rPr>
        <w:t>Senior Director of Finance and Data Initiatives</w:t>
      </w:r>
      <w:r w:rsidRPr="009E5844">
        <w:rPr>
          <w:rFonts w:asciiTheme="minorHAnsi" w:hAnsiTheme="minorHAnsi" w:cstheme="minorHAnsi"/>
          <w:sz w:val="22"/>
          <w:szCs w:val="22"/>
        </w:rPr>
        <w:t>. Search chairs are encouraged, at their own discretion, to use less costly “online only” promotions to conserve resources.</w:t>
      </w:r>
    </w:p>
    <w:p w:rsidR="00E232F8" w:rsidRPr="009E5844" w:rsidRDefault="00E232F8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E232F8" w:rsidRPr="009E5844" w:rsidRDefault="00781FBB" w:rsidP="009E5844">
      <w:pPr>
        <w:pStyle w:val="Heading2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E5844">
        <w:rPr>
          <w:rFonts w:asciiTheme="minorHAnsi" w:hAnsiTheme="minorHAnsi" w:cstheme="minorHAnsi"/>
          <w:i w:val="0"/>
          <w:sz w:val="22"/>
          <w:szCs w:val="22"/>
        </w:rPr>
        <w:t>Candidate Travel Costs and Interview Expenses</w:t>
      </w:r>
      <w:r w:rsidR="009E5844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E232F8" w:rsidRDefault="00684158">
      <w:pPr>
        <w:pStyle w:val="BodyText"/>
        <w:ind w:left="239" w:right="211"/>
        <w:rPr>
          <w:rFonts w:asciiTheme="minorHAnsi" w:hAnsiTheme="minorHAnsi" w:cstheme="minorHAnsi"/>
          <w:sz w:val="22"/>
          <w:szCs w:val="22"/>
        </w:rPr>
      </w:pPr>
      <w:r w:rsidRPr="009E5844">
        <w:rPr>
          <w:rFonts w:asciiTheme="minorHAnsi" w:hAnsiTheme="minorHAnsi" w:cstheme="minorHAnsi"/>
          <w:sz w:val="22"/>
          <w:szCs w:val="22"/>
        </w:rPr>
        <w:t xml:space="preserve">The Division </w:t>
      </w:r>
      <w:r w:rsidR="00781FBB" w:rsidRPr="009E5844">
        <w:rPr>
          <w:rFonts w:asciiTheme="minorHAnsi" w:hAnsiTheme="minorHAnsi" w:cstheme="minorHAnsi"/>
          <w:sz w:val="22"/>
          <w:szCs w:val="22"/>
        </w:rPr>
        <w:t xml:space="preserve">will cover the reasonable and customary faculty search expenses (coach airfare, train, mileage, meals, and incidentals) as governed by the university’s </w:t>
      </w:r>
      <w:hyperlink r:id="rId7" w:history="1">
        <w:r w:rsidR="00781FBB" w:rsidRPr="009E5844">
          <w:rPr>
            <w:rStyle w:val="Hyperlink"/>
            <w:rFonts w:asciiTheme="minorHAnsi" w:hAnsiTheme="minorHAnsi" w:cstheme="minorHAnsi"/>
            <w:sz w:val="22"/>
            <w:szCs w:val="22"/>
          </w:rPr>
          <w:t>an</w:t>
        </w:r>
        <w:r w:rsidRPr="009E5844">
          <w:rPr>
            <w:rStyle w:val="Hyperlink"/>
            <w:rFonts w:asciiTheme="minorHAnsi" w:hAnsiTheme="minorHAnsi" w:cstheme="minorHAnsi"/>
            <w:sz w:val="22"/>
            <w:szCs w:val="22"/>
          </w:rPr>
          <w:t>nual spending guidelines</w:t>
        </w:r>
      </w:hyperlink>
      <w:r w:rsidRPr="009E5844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8" w:history="1">
        <w:r w:rsidRPr="009E5844">
          <w:rPr>
            <w:rStyle w:val="Hyperlink"/>
            <w:rFonts w:asciiTheme="minorHAnsi" w:hAnsiTheme="minorHAnsi" w:cstheme="minorHAnsi"/>
            <w:sz w:val="22"/>
            <w:szCs w:val="22"/>
          </w:rPr>
          <w:t>policies on travel and business meals</w:t>
        </w:r>
      </w:hyperlink>
      <w:r w:rsidRPr="009E5844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781FBB" w:rsidRPr="009E5844" w:rsidRDefault="00781FBB">
      <w:pPr>
        <w:pStyle w:val="BodyText"/>
        <w:ind w:left="239" w:right="211"/>
        <w:rPr>
          <w:rFonts w:asciiTheme="minorHAnsi" w:hAnsiTheme="minorHAnsi" w:cstheme="minorHAnsi"/>
          <w:sz w:val="22"/>
          <w:szCs w:val="22"/>
        </w:rPr>
      </w:pPr>
    </w:p>
    <w:p w:rsidR="00781FBB" w:rsidRDefault="00781FBB" w:rsidP="00720F57">
      <w:pPr>
        <w:pStyle w:val="BodyText"/>
        <w:spacing w:before="68"/>
        <w:ind w:left="240" w:right="268"/>
        <w:rPr>
          <w:rFonts w:asciiTheme="minorHAnsi" w:hAnsiTheme="minorHAnsi" w:cstheme="minorHAnsi"/>
          <w:sz w:val="22"/>
          <w:szCs w:val="22"/>
        </w:rPr>
      </w:pPr>
      <w:r w:rsidRPr="009E5844">
        <w:rPr>
          <w:rFonts w:asciiTheme="minorHAnsi" w:hAnsiTheme="minorHAnsi" w:cstheme="minorHAnsi"/>
          <w:sz w:val="22"/>
          <w:szCs w:val="22"/>
        </w:rPr>
        <w:t xml:space="preserve">The Division normally covers the recruitment costs </w:t>
      </w:r>
      <w:r w:rsidRPr="009E5844">
        <w:rPr>
          <w:rFonts w:asciiTheme="minorHAnsi" w:hAnsiTheme="minorHAnsi" w:cstheme="minorHAnsi"/>
          <w:sz w:val="22"/>
          <w:szCs w:val="22"/>
          <w:u w:val="single"/>
        </w:rPr>
        <w:t>for up to four candidates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9E58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Exceptions may</w:t>
      </w:r>
      <w:r w:rsidRPr="009E5844">
        <w:rPr>
          <w:rFonts w:asciiTheme="minorHAnsi" w:hAnsiTheme="minorHAnsi" w:cstheme="minorHAnsi"/>
          <w:sz w:val="22"/>
          <w:szCs w:val="22"/>
        </w:rPr>
        <w:t xml:space="preserve"> be </w:t>
      </w:r>
      <w:r>
        <w:rPr>
          <w:rFonts w:asciiTheme="minorHAnsi" w:hAnsiTheme="minorHAnsi" w:cstheme="minorHAnsi"/>
          <w:sz w:val="22"/>
          <w:szCs w:val="22"/>
        </w:rPr>
        <w:t>allowed with prior approval from the Senior Director of Finance and Data Initiatives</w:t>
      </w:r>
      <w:r w:rsidRPr="009E5844">
        <w:rPr>
          <w:rFonts w:asciiTheme="minorHAnsi" w:hAnsiTheme="minorHAnsi" w:cstheme="minorHAnsi"/>
          <w:sz w:val="22"/>
          <w:szCs w:val="22"/>
        </w:rPr>
        <w:t>. In certain instances, subject to advance approval, funds may be available for spousal travel for finalists.</w:t>
      </w:r>
    </w:p>
    <w:p w:rsidR="00781FBB" w:rsidRDefault="00781FBB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E232F8" w:rsidRPr="009E5844" w:rsidRDefault="009E5844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</w:t>
      </w:r>
      <w:r w:rsidR="00781FBB" w:rsidRPr="009E5844">
        <w:rPr>
          <w:rFonts w:asciiTheme="minorHAnsi" w:hAnsiTheme="minorHAnsi" w:cstheme="minorHAnsi"/>
          <w:sz w:val="22"/>
          <w:szCs w:val="22"/>
        </w:rPr>
        <w:t xml:space="preserve"> Reimbursement Submission Procedures</w:t>
      </w:r>
    </w:p>
    <w:p w:rsidR="00E232F8" w:rsidRPr="00720F57" w:rsidRDefault="00E232F8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516955" w:rsidRPr="009E5844" w:rsidRDefault="007011B3">
      <w:pPr>
        <w:pStyle w:val="BodyText"/>
        <w:ind w:left="239"/>
        <w:rPr>
          <w:rFonts w:asciiTheme="minorHAnsi" w:hAnsiTheme="minorHAnsi" w:cstheme="minorHAnsi"/>
          <w:sz w:val="22"/>
          <w:szCs w:val="22"/>
        </w:rPr>
      </w:pPr>
      <w:r w:rsidRPr="009E5844">
        <w:rPr>
          <w:rFonts w:asciiTheme="minorHAnsi" w:hAnsiTheme="minorHAnsi" w:cstheme="minorHAnsi"/>
          <w:sz w:val="22"/>
          <w:szCs w:val="22"/>
        </w:rPr>
        <w:t xml:space="preserve">Recruiting departments should use </w:t>
      </w:r>
      <w:r w:rsidR="00720F57">
        <w:rPr>
          <w:rFonts w:asciiTheme="minorHAnsi" w:hAnsiTheme="minorHAnsi" w:cstheme="minorHAnsi"/>
          <w:sz w:val="22"/>
          <w:szCs w:val="22"/>
        </w:rPr>
        <w:t xml:space="preserve">CC40704, PRG143 when processing expenses.  </w:t>
      </w:r>
      <w:r w:rsidR="00516955" w:rsidRPr="009E5844">
        <w:rPr>
          <w:rFonts w:asciiTheme="minorHAnsi" w:hAnsiTheme="minorHAnsi" w:cstheme="minorHAnsi"/>
          <w:sz w:val="22"/>
          <w:szCs w:val="22"/>
        </w:rPr>
        <w:t xml:space="preserve">Please call or email Jennifer Hadden at (401)-863-7468 or </w:t>
      </w:r>
      <w:hyperlink r:id="rId9" w:history="1">
        <w:r w:rsidR="00516955" w:rsidRPr="009E5844">
          <w:rPr>
            <w:rStyle w:val="Hyperlink"/>
            <w:rFonts w:asciiTheme="minorHAnsi" w:hAnsiTheme="minorHAnsi" w:cstheme="minorHAnsi"/>
            <w:sz w:val="22"/>
            <w:szCs w:val="22"/>
          </w:rPr>
          <w:t>Jennifer_Hadden@brown.edu</w:t>
        </w:r>
      </w:hyperlink>
      <w:r w:rsidR="00516955" w:rsidRPr="009E5844">
        <w:rPr>
          <w:rFonts w:asciiTheme="minorHAnsi" w:hAnsiTheme="minorHAnsi" w:cstheme="minorHAnsi"/>
          <w:sz w:val="22"/>
          <w:szCs w:val="22"/>
        </w:rPr>
        <w:t xml:space="preserve"> with any questions or concerns.</w:t>
      </w:r>
    </w:p>
    <w:sectPr w:rsidR="00516955" w:rsidRPr="009E5844" w:rsidSect="00444F50">
      <w:footerReference w:type="default" r:id="rId10"/>
      <w:pgSz w:w="12240" w:h="15840"/>
      <w:pgMar w:top="1200" w:right="1720" w:bottom="980" w:left="1560" w:header="0" w:footer="723" w:gutter="0"/>
      <w:pgBorders w:offsetFrom="page">
        <w:top w:val="single" w:sz="12" w:space="24" w:color="C4BC96" w:themeColor="background2" w:themeShade="BF"/>
        <w:left w:val="single" w:sz="12" w:space="24" w:color="C4BC96" w:themeColor="background2" w:themeShade="BF"/>
        <w:bottom w:val="single" w:sz="12" w:space="24" w:color="C4BC96" w:themeColor="background2" w:themeShade="BF"/>
        <w:right w:val="single" w:sz="12" w:space="24" w:color="C4BC96" w:themeColor="background2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C0" w:rsidRDefault="00781FBB">
      <w:r>
        <w:separator/>
      </w:r>
    </w:p>
  </w:endnote>
  <w:endnote w:type="continuationSeparator" w:id="0">
    <w:p w:rsidR="00085EC0" w:rsidRDefault="0078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2483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4F50" w:rsidRDefault="00444F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F5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232F8" w:rsidRDefault="00E232F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C0" w:rsidRDefault="00781FBB">
      <w:r>
        <w:separator/>
      </w:r>
    </w:p>
  </w:footnote>
  <w:footnote w:type="continuationSeparator" w:id="0">
    <w:p w:rsidR="00085EC0" w:rsidRDefault="0078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D12"/>
    <w:multiLevelType w:val="hybridMultilevel"/>
    <w:tmpl w:val="738634F8"/>
    <w:lvl w:ilvl="0" w:tplc="7E98F66C">
      <w:start w:val="1"/>
      <w:numFmt w:val="decimal"/>
      <w:lvlText w:val="%1)"/>
      <w:lvlJc w:val="left"/>
      <w:pPr>
        <w:ind w:left="499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8321F58">
      <w:numFmt w:val="bullet"/>
      <w:lvlText w:val="•"/>
      <w:lvlJc w:val="left"/>
      <w:pPr>
        <w:ind w:left="1346" w:hanging="260"/>
      </w:pPr>
      <w:rPr>
        <w:rFonts w:hint="default"/>
      </w:rPr>
    </w:lvl>
    <w:lvl w:ilvl="2" w:tplc="C58C3C10">
      <w:numFmt w:val="bullet"/>
      <w:lvlText w:val="•"/>
      <w:lvlJc w:val="left"/>
      <w:pPr>
        <w:ind w:left="2192" w:hanging="260"/>
      </w:pPr>
      <w:rPr>
        <w:rFonts w:hint="default"/>
      </w:rPr>
    </w:lvl>
    <w:lvl w:ilvl="3" w:tplc="A08A5194">
      <w:numFmt w:val="bullet"/>
      <w:lvlText w:val="•"/>
      <w:lvlJc w:val="left"/>
      <w:pPr>
        <w:ind w:left="3038" w:hanging="260"/>
      </w:pPr>
      <w:rPr>
        <w:rFonts w:hint="default"/>
      </w:rPr>
    </w:lvl>
    <w:lvl w:ilvl="4" w:tplc="092A1284">
      <w:numFmt w:val="bullet"/>
      <w:lvlText w:val="•"/>
      <w:lvlJc w:val="left"/>
      <w:pPr>
        <w:ind w:left="3884" w:hanging="260"/>
      </w:pPr>
      <w:rPr>
        <w:rFonts w:hint="default"/>
      </w:rPr>
    </w:lvl>
    <w:lvl w:ilvl="5" w:tplc="D4F2FB1C">
      <w:numFmt w:val="bullet"/>
      <w:lvlText w:val="•"/>
      <w:lvlJc w:val="left"/>
      <w:pPr>
        <w:ind w:left="4730" w:hanging="260"/>
      </w:pPr>
      <w:rPr>
        <w:rFonts w:hint="default"/>
      </w:rPr>
    </w:lvl>
    <w:lvl w:ilvl="6" w:tplc="2B2A7880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2F9019D0">
      <w:numFmt w:val="bullet"/>
      <w:lvlText w:val="•"/>
      <w:lvlJc w:val="left"/>
      <w:pPr>
        <w:ind w:left="6422" w:hanging="260"/>
      </w:pPr>
      <w:rPr>
        <w:rFonts w:hint="default"/>
      </w:rPr>
    </w:lvl>
    <w:lvl w:ilvl="8" w:tplc="86E6C184">
      <w:numFmt w:val="bullet"/>
      <w:lvlText w:val="•"/>
      <w:lvlJc w:val="left"/>
      <w:pPr>
        <w:ind w:left="726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232F8"/>
    <w:rsid w:val="00085EC0"/>
    <w:rsid w:val="00444F50"/>
    <w:rsid w:val="00516955"/>
    <w:rsid w:val="006750BD"/>
    <w:rsid w:val="00684158"/>
    <w:rsid w:val="007011B3"/>
    <w:rsid w:val="00720F57"/>
    <w:rsid w:val="00781FBB"/>
    <w:rsid w:val="0086652D"/>
    <w:rsid w:val="009E5844"/>
    <w:rsid w:val="00E232F8"/>
    <w:rsid w:val="00E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F346E"/>
  <w15:docId w15:val="{4011A8B1-FBC0-4D67-ACC0-14C01A61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9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41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4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about/administration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.edu/about/administration/controller/accounts-payable/annual-spending-guide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nifer_Hadden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 reimbursement REV-DRAFT.doc</vt:lpstr>
    </vt:vector>
  </TitlesOfParts>
  <Company>Brown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reimbursement REV-DRAFT.doc</dc:title>
  <dc:creator>elorente</dc:creator>
  <cp:lastModifiedBy>Hadden, Jennifer</cp:lastModifiedBy>
  <cp:revision>9</cp:revision>
  <dcterms:created xsi:type="dcterms:W3CDTF">2019-07-31T17:11:00Z</dcterms:created>
  <dcterms:modified xsi:type="dcterms:W3CDTF">2019-08-02T18:56:00Z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2019-07-31T00:00:00Z</vt:filetime>
  </property>
</Properties>
</file>