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0000"/>
          <w:sz w:val="22"/>
          <w:szCs w:val="22"/>
        </w:rPr>
      </w:pPr>
      <w:bookmarkStart w:colFirst="0" w:colLast="0" w:name="_gjdgxs" w:id="0"/>
      <w:bookmarkEnd w:id="0"/>
      <w:r w:rsidDel="00000000" w:rsidR="00000000" w:rsidRPr="00000000">
        <w:rPr>
          <w:rFonts w:ascii="Calibri" w:cs="Calibri" w:eastAsia="Calibri" w:hAnsi="Calibri"/>
          <w:b w:val="1"/>
          <w:color w:val="000000"/>
          <w:sz w:val="22"/>
          <w:szCs w:val="22"/>
          <w:rtl w:val="0"/>
        </w:rPr>
        <w:t xml:space="preserve">CLPS Cognitive Neuroscience Concentration</w:t>
      </w:r>
    </w:p>
    <w:p w:rsidR="00000000" w:rsidDel="00000000" w:rsidP="00000000" w:rsidRDefault="00000000" w:rsidRPr="00000000" w14:paraId="00000002">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Information for Prospective Concentrators</w:t>
      </w:r>
    </w:p>
    <w:p w:rsidR="00000000" w:rsidDel="00000000" w:rsidP="00000000" w:rsidRDefault="00000000" w:rsidRPr="00000000" w14:paraId="00000003">
      <w:pPr>
        <w:rPr>
          <w:rFonts w:ascii="Calibri" w:cs="Calibri" w:eastAsia="Calibri" w:hAnsi="Calibri"/>
          <w:color w:val="000000"/>
          <w:sz w:val="22"/>
          <w:szCs w:val="22"/>
        </w:rPr>
      </w:pPr>
      <w:r w:rsidDel="00000000" w:rsidR="00000000" w:rsidRPr="00000000">
        <w:rPr>
          <w:rtl w:val="0"/>
        </w:rPr>
      </w:r>
    </w:p>
    <w:tbl>
      <w:tblPr>
        <w:tblStyle w:val="Table1"/>
        <w:tblW w:w="8787.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2"/>
        <w:gridCol w:w="5245"/>
        <w:tblGridChange w:id="0">
          <w:tblGrid>
            <w:gridCol w:w="3542"/>
            <w:gridCol w:w="5245"/>
          </w:tblGrid>
        </w:tblGridChange>
      </w:tblGrid>
      <w:tr>
        <w:tc>
          <w:tcPr>
            <w:gridSpan w:val="2"/>
          </w:tcPr>
          <w:p w:rsidR="00000000" w:rsidDel="00000000" w:rsidP="00000000" w:rsidRDefault="00000000" w:rsidRPr="00000000" w14:paraId="0000000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information is intended to help prospective Cognitive Neuroscience concentrators decide whether this concentration is the best for you.  If you need help with that decision, make an appointment with one of the concentration advisors. It will be helpful if, before your meeting, you use the information below to begin thinking about a course plan that is right for you.   </w:t>
            </w:r>
          </w:p>
        </w:tc>
      </w:tr>
      <w:tr>
        <w:tc>
          <w:tcPr>
            <w:gridSpan w:val="2"/>
          </w:tcPr>
          <w:p w:rsidR="00000000" w:rsidDel="00000000" w:rsidP="00000000" w:rsidRDefault="00000000" w:rsidRPr="00000000" w14:paraId="00000006">
            <w:pPr>
              <w:rPr>
                <w:rFonts w:ascii="Calibri" w:cs="Calibri" w:eastAsia="Calibri" w:hAnsi="Calibri"/>
                <w:b w:val="1"/>
                <w:color w:val="000000"/>
                <w:sz w:val="22"/>
                <w:szCs w:val="22"/>
              </w:rPr>
            </w:pPr>
            <w:r w:rsidDel="00000000" w:rsidR="00000000" w:rsidRPr="00000000">
              <w:rPr>
                <w:rFonts w:ascii="Calibri" w:cs="Calibri" w:eastAsia="Calibri" w:hAnsi="Calibri"/>
                <w:b w:val="1"/>
                <w:i w:val="1"/>
                <w:color w:val="000000"/>
                <w:sz w:val="22"/>
                <w:szCs w:val="22"/>
                <w:rtl w:val="0"/>
              </w:rPr>
              <w:t xml:space="preserve">Common AB/ScB requirements are in white (12 courses); additional ScB requirements are in grey (5 courses for a total of 17)</w:t>
            </w:r>
            <w:r w:rsidDel="00000000" w:rsidR="00000000" w:rsidRPr="00000000">
              <w:rPr>
                <w:rtl w:val="0"/>
              </w:rPr>
            </w:r>
          </w:p>
        </w:tc>
      </w:tr>
      <w:tr>
        <w:tc>
          <w:tcPr>
            <w:shd w:fill="auto" w:val="clear"/>
          </w:tcPr>
          <w:p w:rsidR="00000000" w:rsidDel="00000000" w:rsidP="00000000" w:rsidRDefault="00000000" w:rsidRPr="00000000" w14:paraId="00000008">
            <w:pPr>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Gateway and Methods Courses (3)</w:t>
            </w:r>
          </w:p>
        </w:tc>
        <w:tc>
          <w:tcPr/>
          <w:p w:rsidR="00000000" w:rsidDel="00000000" w:rsidP="00000000" w:rsidRDefault="00000000" w:rsidRPr="00000000" w14:paraId="00000009">
            <w:pPr>
              <w:jc w:val="center"/>
              <w:rPr>
                <w:rFonts w:ascii="Calibri" w:cs="Calibri" w:eastAsia="Calibri" w:hAnsi="Calibri"/>
                <w:color w:val="000000"/>
                <w:sz w:val="22"/>
                <w:szCs w:val="22"/>
                <w:highlight w:val="lightGray"/>
              </w:rPr>
            </w:pPr>
            <w:r w:rsidDel="00000000" w:rsidR="00000000" w:rsidRPr="00000000">
              <w:rPr>
                <w:rFonts w:ascii="Calibri" w:cs="Calibri" w:eastAsia="Calibri" w:hAnsi="Calibri"/>
                <w:b w:val="1"/>
                <w:color w:val="000000"/>
                <w:sz w:val="22"/>
                <w:szCs w:val="22"/>
                <w:rtl w:val="0"/>
              </w:rPr>
              <w:t xml:space="preserve">Comments</w:t>
            </w:r>
            <w:r w:rsidDel="00000000" w:rsidR="00000000" w:rsidRPr="00000000">
              <w:rPr>
                <w:rtl w:val="0"/>
              </w:rPr>
            </w:r>
          </w:p>
        </w:tc>
      </w:tr>
      <w:tr>
        <w:tc>
          <w:tcPr/>
          <w:p w:rsidR="00000000" w:rsidDel="00000000" w:rsidP="00000000" w:rsidRDefault="00000000" w:rsidRPr="00000000" w14:paraId="0000000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Mind, Brain and Behavior (CLPS 0010)</w:t>
            </w:r>
          </w:p>
        </w:tc>
        <w:tc>
          <w:tcPr/>
          <w:p w:rsidR="00000000" w:rsidDel="00000000" w:rsidP="00000000" w:rsidRDefault="00000000" w:rsidRPr="00000000" w14:paraId="0000000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 transfer students, any Intro to Psychology course is acceptable. AP Psychology is never acceptable. </w:t>
            </w:r>
          </w:p>
        </w:tc>
      </w:tr>
      <w:tr>
        <w:tc>
          <w:tcPr/>
          <w:p w:rsidR="00000000" w:rsidDel="00000000" w:rsidP="00000000" w:rsidRDefault="00000000" w:rsidRPr="00000000" w14:paraId="0000000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Quantitative (CLPS 0900)</w:t>
            </w:r>
          </w:p>
        </w:tc>
        <w:tc>
          <w:tcPr/>
          <w:p w:rsidR="00000000" w:rsidDel="00000000" w:rsidP="00000000" w:rsidRDefault="00000000" w:rsidRPr="00000000" w14:paraId="0000000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too elementary,  Experimental Design (CLPS 2906), Essentials of Data Analysis (PHP 1501, one prereq), Applied Research Methods for Economists (ECON 1629, 2 econ prereqs), or Statistical Inference 2 (APMA 1660, one prereq).  If the student has already taken SOC 1100, we allow it, but we do not approve ahead of time. Note that APMA 1650 was acceptable in the past, but has changed and is no longer acceptable. </w:t>
            </w:r>
          </w:p>
        </w:tc>
      </w:tr>
      <w:tr>
        <w:tc>
          <w:tcPr/>
          <w:p w:rsidR="00000000" w:rsidDel="00000000" w:rsidP="00000000" w:rsidRDefault="00000000" w:rsidRPr="00000000" w14:paraId="0000000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Research Methods &amp; Design (CLPS 1900)</w:t>
            </w:r>
          </w:p>
        </w:tc>
        <w:tc>
          <w:tcPr/>
          <w:p w:rsidR="00000000" w:rsidDel="00000000" w:rsidP="00000000" w:rsidRDefault="00000000" w:rsidRPr="00000000" w14:paraId="0000000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Other acceptable methods courses:  Functional Magnetic  I</w:t>
            </w:r>
            <w:r w:rsidDel="00000000" w:rsidR="00000000" w:rsidRPr="00000000">
              <w:rPr>
                <w:rFonts w:ascii="Calibri" w:cs="Calibri" w:eastAsia="Calibri" w:hAnsi="Calibri"/>
                <w:sz w:val="22"/>
                <w:szCs w:val="22"/>
                <w:rtl w:val="0"/>
              </w:rPr>
              <w:t xml:space="preserve">m</w:t>
            </w:r>
            <w:r w:rsidDel="00000000" w:rsidR="00000000" w:rsidRPr="00000000">
              <w:rPr>
                <w:rFonts w:ascii="Calibri" w:cs="Calibri" w:eastAsia="Calibri" w:hAnsi="Calibri"/>
                <w:color w:val="000000"/>
                <w:sz w:val="22"/>
                <w:szCs w:val="22"/>
                <w:rtl w:val="0"/>
              </w:rPr>
              <w:t xml:space="preserve">aging: Theory and Practice (CLPS 1490), Experimental Design (CLPS 2906), or any </w:t>
            </w:r>
            <w:r w:rsidDel="00000000" w:rsidR="00000000" w:rsidRPr="00000000">
              <w:rPr>
                <w:rFonts w:ascii="Calibri" w:cs="Calibri" w:eastAsia="Calibri" w:hAnsi="Calibri"/>
                <w:sz w:val="22"/>
                <w:szCs w:val="22"/>
                <w:rtl w:val="0"/>
              </w:rPr>
              <w:t xml:space="preserve">1000 level laboratory course in CLPS or NEUR. Laboratory courses outside of CLPS or NEUR are not acceptable for this requirement.</w:t>
            </w:r>
            <w:r w:rsidDel="00000000" w:rsidR="00000000" w:rsidRPr="00000000">
              <w:rPr>
                <w:rtl w:val="0"/>
              </w:rPr>
            </w:r>
          </w:p>
        </w:tc>
      </w:tr>
      <w:tr>
        <w:tc>
          <w:tcPr>
            <w:gridSpan w:val="2"/>
          </w:tcPr>
          <w:p w:rsidR="00000000" w:rsidDel="00000000" w:rsidP="00000000" w:rsidRDefault="00000000" w:rsidRPr="00000000" w14:paraId="00000010">
            <w:pPr>
              <w:rPr>
                <w:rFonts w:ascii="Calibri" w:cs="Calibri" w:eastAsia="Calibri" w:hAnsi="Calibri"/>
                <w:i w:val="1"/>
                <w:color w:val="000000"/>
                <w:sz w:val="22"/>
                <w:szCs w:val="22"/>
              </w:rPr>
            </w:pPr>
            <w:r w:rsidDel="00000000" w:rsidR="00000000" w:rsidRPr="00000000">
              <w:rPr>
                <w:rtl w:val="0"/>
              </w:rPr>
            </w:r>
          </w:p>
        </w:tc>
      </w:tr>
      <w:tr>
        <w:tc>
          <w:tcPr/>
          <w:p w:rsidR="00000000" w:rsidDel="00000000" w:rsidP="00000000" w:rsidRDefault="00000000" w:rsidRPr="00000000" w14:paraId="00000012">
            <w:pPr>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Foundation Topics (1 in each area)</w:t>
            </w:r>
          </w:p>
        </w:tc>
        <w:tc>
          <w:tcPr/>
          <w:p w:rsidR="00000000" w:rsidDel="00000000" w:rsidP="00000000" w:rsidRDefault="00000000" w:rsidRPr="00000000" w14:paraId="00000013">
            <w:pPr>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Courses in order of preference</w:t>
            </w:r>
          </w:p>
        </w:tc>
      </w:tr>
      <w:tr>
        <w:tc>
          <w:tcPr/>
          <w:p w:rsidR="00000000" w:rsidDel="00000000" w:rsidP="00000000" w:rsidRDefault="00000000" w:rsidRPr="00000000" w14:paraId="0000001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Cognitive Neuroscience</w:t>
            </w:r>
          </w:p>
        </w:tc>
        <w:tc>
          <w:tcPr/>
          <w:p w:rsidR="00000000" w:rsidDel="00000000" w:rsidP="00000000" w:rsidRDefault="00000000" w:rsidRPr="00000000" w14:paraId="00000015">
            <w:pPr>
              <w:rPr>
                <w:rFonts w:ascii="Calibri" w:cs="Calibri" w:eastAsia="Calibri" w:hAnsi="Calibri"/>
                <w:color w:val="000000"/>
                <w:sz w:val="22"/>
                <w:szCs w:val="22"/>
              </w:rPr>
            </w:pPr>
            <w:bookmarkStart w:colFirst="0" w:colLast="0" w:name="_30j0zll" w:id="1"/>
            <w:bookmarkEnd w:id="1"/>
            <w:r w:rsidDel="00000000" w:rsidR="00000000" w:rsidRPr="00000000">
              <w:rPr>
                <w:rFonts w:ascii="Calibri" w:cs="Calibri" w:eastAsia="Calibri" w:hAnsi="Calibri"/>
                <w:color w:val="000000"/>
                <w:sz w:val="22"/>
                <w:szCs w:val="22"/>
                <w:rtl w:val="0"/>
              </w:rPr>
              <w:t xml:space="preserve">Cognitive Neuroscience (CLPS 0400), Brain Damage and the Mind (CLPS 0450), or Behavioral Neuroscience (CLPS 0150). </w:t>
            </w:r>
          </w:p>
        </w:tc>
      </w:tr>
      <w:tr>
        <w:tc>
          <w:tcPr/>
          <w:p w:rsidR="00000000" w:rsidDel="00000000" w:rsidP="00000000" w:rsidRDefault="00000000" w:rsidRPr="00000000" w14:paraId="0000001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Neuroscience</w:t>
            </w:r>
          </w:p>
        </w:tc>
        <w:tc>
          <w:tcPr/>
          <w:p w:rsidR="00000000" w:rsidDel="00000000" w:rsidP="00000000" w:rsidRDefault="00000000" w:rsidRPr="00000000" w14:paraId="0000001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Introduction to Neuroscience (NEUR 0010), NEUR 1020 Intro to Neurobiology,, or NEUR 1030 Neural Systems</w:t>
            </w:r>
          </w:p>
        </w:tc>
      </w:tr>
      <w:tr>
        <w:tc>
          <w:tcPr/>
          <w:p w:rsidR="00000000" w:rsidDel="00000000" w:rsidP="00000000" w:rsidRDefault="00000000" w:rsidRPr="00000000" w14:paraId="0000001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Cognitive Neuropsychology</w:t>
            </w:r>
          </w:p>
        </w:tc>
        <w:tc>
          <w:tcPr/>
          <w:p w:rsidR="00000000" w:rsidDel="00000000" w:rsidP="00000000" w:rsidRDefault="00000000" w:rsidRPr="00000000" w14:paraId="0000001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Brain Damage and the Mind (CLPS 0450), seminar in Cognitive Neuropsychology ( CLPS 1420), or Human Cognition (CLPS 0200)</w:t>
            </w:r>
          </w:p>
        </w:tc>
      </w:tr>
      <w:tr>
        <w:tc>
          <w:tcPr/>
          <w:p w:rsidR="00000000" w:rsidDel="00000000" w:rsidP="00000000" w:rsidRDefault="00000000" w:rsidRPr="00000000" w14:paraId="0000001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Computational Methods</w:t>
            </w:r>
          </w:p>
        </w:tc>
        <w:tc>
          <w:tcPr/>
          <w:p w:rsidR="00000000" w:rsidDel="00000000" w:rsidP="00000000" w:rsidRDefault="00000000" w:rsidRPr="00000000" w14:paraId="0000001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Computational Cognitive Neuroscience (CLPS 1492), Computational Methods for Mind, Brain and Behavior (CLPS 1291), Deep Learning (CLPS 1950), Introduction to Programming (CLPS 0950), Intro to Object-Oriented Programming (CSCI 0150), Computing Foundations: Data (CSCI 0111) Intro to Object-Oriented Programming (CSCI 0150), Neural dynamics (NEUR 1440), Open-Source Big Data (NEUR 1630), and Computational Neuroscience (NEUR 1680) </w:t>
            </w:r>
          </w:p>
        </w:tc>
      </w:tr>
    </w:tbl>
    <w:p w:rsidR="00000000" w:rsidDel="00000000" w:rsidP="00000000" w:rsidRDefault="00000000" w:rsidRPr="00000000" w14:paraId="0000001C">
      <w:pPr>
        <w:rPr/>
      </w:pPr>
      <w:r w:rsidDel="00000000" w:rsidR="00000000" w:rsidRPr="00000000">
        <w:rPr>
          <w:rtl w:val="0"/>
        </w:rPr>
      </w:r>
    </w:p>
    <w:tbl>
      <w:tblPr>
        <w:tblStyle w:val="Table2"/>
        <w:tblW w:w="8645.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2"/>
        <w:gridCol w:w="5103"/>
        <w:tblGridChange w:id="0">
          <w:tblGrid>
            <w:gridCol w:w="3542"/>
            <w:gridCol w:w="5103"/>
          </w:tblGrid>
        </w:tblGridChange>
      </w:tblGrid>
      <w:tr>
        <w:tc>
          <w:tcPr>
            <w:gridSpan w:val="2"/>
          </w:tcPr>
          <w:p w:rsidR="00000000" w:rsidDel="00000000" w:rsidP="00000000" w:rsidRDefault="00000000" w:rsidRPr="00000000" w14:paraId="0000001D">
            <w:pPr>
              <w:rPr>
                <w:rFonts w:ascii="Calibri" w:cs="Calibri" w:eastAsia="Calibri" w:hAnsi="Calibri"/>
                <w:i w:val="1"/>
                <w:color w:val="000000"/>
                <w:sz w:val="22"/>
                <w:szCs w:val="22"/>
              </w:rPr>
            </w:pPr>
            <w:r w:rsidDel="00000000" w:rsidR="00000000" w:rsidRPr="00000000">
              <w:rPr>
                <w:rFonts w:ascii="Calibri" w:cs="Calibri" w:eastAsia="Calibri" w:hAnsi="Calibri"/>
                <w:b w:val="1"/>
                <w:i w:val="1"/>
                <w:color w:val="000000"/>
                <w:sz w:val="22"/>
                <w:szCs w:val="22"/>
                <w:rtl w:val="0"/>
              </w:rPr>
              <w:t xml:space="preserve">Electives (4 courses, 3 must be 1000 level courses, typically in CLPS or NEUR</w:t>
            </w:r>
            <w:r w:rsidDel="00000000" w:rsidR="00000000" w:rsidRPr="00000000">
              <w:rPr>
                <w:rtl w:val="0"/>
              </w:rPr>
            </w:r>
          </w:p>
        </w:tc>
      </w:tr>
      <w:tr>
        <w:trPr>
          <w:trHeight w:val="1340" w:hRule="atLeast"/>
        </w:trPr>
        <w:tc>
          <w:tcPr/>
          <w:p w:rsidR="00000000" w:rsidDel="00000000" w:rsidP="00000000" w:rsidRDefault="00000000" w:rsidRPr="00000000" w14:paraId="0000001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Elective courses should have a unified theme. Themes could be any of the foundation areas, or some other theme that has three available 1000 level courses, for example, developmental, language, or decision-making.</w:t>
            </w:r>
          </w:p>
        </w:tc>
        <w:tc>
          <w:tcPr>
            <w:tcBorders>
              <w:bottom w:color="000000" w:space="0" w:sz="0" w:val="nil"/>
            </w:tcBorders>
          </w:tcPr>
          <w:p w:rsidR="00000000" w:rsidDel="00000000" w:rsidP="00000000" w:rsidRDefault="00000000" w:rsidRPr="00000000" w14:paraId="0000002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Any 1000 level course in CLPS or NEUR that is not being used to fulfill another requirement and fits with the unified theme is acceptable. Courses in other departments may be acceptable, if they clearly fit with the unified theme. </w:t>
            </w:r>
          </w:p>
        </w:tc>
      </w:tr>
      <w:tr>
        <w:trPr>
          <w:trHeight w:val="260" w:hRule="atLeast"/>
        </w:trPr>
        <w:tc>
          <w:tcPr/>
          <w:p w:rsidR="00000000" w:rsidDel="00000000" w:rsidP="00000000" w:rsidRDefault="00000000" w:rsidRPr="00000000" w14:paraId="0000002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bottom w:color="000000" w:space="0" w:sz="0" w:val="nil"/>
            </w:tcBorders>
          </w:tcPr>
          <w:p w:rsidR="00000000" w:rsidDel="00000000" w:rsidP="00000000" w:rsidRDefault="00000000" w:rsidRPr="00000000" w14:paraId="00000022">
            <w:pPr>
              <w:rPr>
                <w:rFonts w:ascii="Calibri" w:cs="Calibri" w:eastAsia="Calibri" w:hAnsi="Calibri"/>
                <w:color w:val="000000"/>
                <w:sz w:val="22"/>
                <w:szCs w:val="22"/>
              </w:rPr>
            </w:pPr>
            <w:r w:rsidDel="00000000" w:rsidR="00000000" w:rsidRPr="00000000">
              <w:rPr>
                <w:rtl w:val="0"/>
              </w:rPr>
            </w:r>
          </w:p>
        </w:tc>
      </w:tr>
      <w:tr>
        <w:trPr>
          <w:trHeight w:val="260" w:hRule="atLeast"/>
        </w:trPr>
        <w:tc>
          <w:tcPr/>
          <w:p w:rsidR="00000000" w:rsidDel="00000000" w:rsidP="00000000" w:rsidRDefault="00000000" w:rsidRPr="00000000" w14:paraId="0000002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bottom w:color="000000" w:space="0" w:sz="0" w:val="nil"/>
            </w:tcBorders>
          </w:tcPr>
          <w:p w:rsidR="00000000" w:rsidDel="00000000" w:rsidP="00000000" w:rsidRDefault="00000000" w:rsidRPr="00000000" w14:paraId="00000024">
            <w:pPr>
              <w:rPr>
                <w:rFonts w:ascii="Calibri" w:cs="Calibri" w:eastAsia="Calibri" w:hAnsi="Calibri"/>
                <w:color w:val="000000"/>
                <w:sz w:val="22"/>
                <w:szCs w:val="22"/>
              </w:rPr>
            </w:pPr>
            <w:r w:rsidDel="00000000" w:rsidR="00000000" w:rsidRPr="00000000">
              <w:rPr>
                <w:rtl w:val="0"/>
              </w:rPr>
            </w:r>
          </w:p>
        </w:tc>
      </w:tr>
      <w:tr>
        <w:trPr>
          <w:trHeight w:val="260" w:hRule="atLeast"/>
        </w:trPr>
        <w:tc>
          <w:tcPr/>
          <w:p w:rsidR="00000000" w:rsidDel="00000000" w:rsidP="00000000" w:rsidRDefault="00000000" w:rsidRPr="00000000" w14:paraId="0000002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bottom w:color="000000" w:space="0" w:sz="0" w:val="nil"/>
            </w:tcBorders>
          </w:tcPr>
          <w:p w:rsidR="00000000" w:rsidDel="00000000" w:rsidP="00000000" w:rsidRDefault="00000000" w:rsidRPr="00000000" w14:paraId="00000026">
            <w:pPr>
              <w:rPr>
                <w:rFonts w:ascii="Calibri" w:cs="Calibri" w:eastAsia="Calibri" w:hAnsi="Calibri"/>
                <w:color w:val="000000"/>
                <w:sz w:val="22"/>
                <w:szCs w:val="22"/>
              </w:rPr>
            </w:pPr>
            <w:r w:rsidDel="00000000" w:rsidR="00000000" w:rsidRPr="00000000">
              <w:rPr>
                <w:rtl w:val="0"/>
              </w:rPr>
            </w:r>
          </w:p>
        </w:tc>
      </w:tr>
      <w:tr>
        <w:trPr>
          <w:trHeight w:val="260" w:hRule="atLeast"/>
        </w:trPr>
        <w:tc>
          <w:tcPr/>
          <w:p w:rsidR="00000000" w:rsidDel="00000000" w:rsidP="00000000" w:rsidRDefault="00000000" w:rsidRPr="00000000" w14:paraId="0000002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bottom w:color="000000" w:space="0" w:sz="0" w:val="nil"/>
            </w:tcBorders>
          </w:tcPr>
          <w:p w:rsidR="00000000" w:rsidDel="00000000" w:rsidP="00000000" w:rsidRDefault="00000000" w:rsidRPr="00000000" w14:paraId="00000028">
            <w:pPr>
              <w:rPr>
                <w:rFonts w:ascii="Calibri" w:cs="Calibri" w:eastAsia="Calibri" w:hAnsi="Calibri"/>
                <w:color w:val="000000"/>
                <w:sz w:val="22"/>
                <w:szCs w:val="22"/>
              </w:rPr>
            </w:pPr>
            <w:r w:rsidDel="00000000" w:rsidR="00000000" w:rsidRPr="00000000">
              <w:rPr>
                <w:rtl w:val="0"/>
              </w:rPr>
            </w:r>
          </w:p>
        </w:tc>
      </w:tr>
      <w:tr>
        <w:trPr>
          <w:trHeight w:val="220" w:hRule="atLeast"/>
        </w:trPr>
        <w:tc>
          <w:tcPr>
            <w:gridSpan w:val="2"/>
          </w:tcPr>
          <w:p w:rsidR="00000000" w:rsidDel="00000000" w:rsidP="00000000" w:rsidRDefault="00000000" w:rsidRPr="00000000" w14:paraId="00000029">
            <w:pPr>
              <w:rPr>
                <w:rFonts w:ascii="Calibri" w:cs="Calibri" w:eastAsia="Calibri" w:hAnsi="Calibri"/>
                <w:b w:val="1"/>
                <w:i w:val="1"/>
                <w:color w:val="000000"/>
                <w:sz w:val="22"/>
                <w:szCs w:val="22"/>
                <w:highlight w:val="lightGray"/>
              </w:rPr>
            </w:pPr>
            <w:r w:rsidDel="00000000" w:rsidR="00000000" w:rsidRPr="00000000">
              <w:rPr>
                <w:rtl w:val="0"/>
              </w:rPr>
            </w:r>
          </w:p>
        </w:tc>
      </w:tr>
      <w:tr>
        <w:tc>
          <w:tcPr/>
          <w:p w:rsidR="00000000" w:rsidDel="00000000" w:rsidP="00000000" w:rsidRDefault="00000000" w:rsidRPr="00000000" w14:paraId="0000002B">
            <w:pPr>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Capstone: Approved Seminar or Independent Study (1) </w:t>
            </w:r>
          </w:p>
        </w:tc>
        <w:tc>
          <w:tcPr/>
          <w:p w:rsidR="00000000" w:rsidDel="00000000" w:rsidP="00000000" w:rsidRDefault="00000000" w:rsidRPr="00000000" w14:paraId="0000002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 a seminar, any 1000 level seminar in CLPS or NEUR. For independent study, CLPS 1980 or NEUR 1970.</w:t>
            </w:r>
          </w:p>
        </w:tc>
      </w:tr>
      <w:tr>
        <w:tc>
          <w:tcPr/>
          <w:p w:rsidR="00000000" w:rsidDel="00000000" w:rsidP="00000000" w:rsidRDefault="00000000" w:rsidRPr="00000000" w14:paraId="0000002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p w:rsidR="00000000" w:rsidDel="00000000" w:rsidP="00000000" w:rsidRDefault="00000000" w:rsidRPr="00000000" w14:paraId="0000002E">
            <w:pP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2F">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color w:val="000000"/>
          <w:sz w:val="22"/>
          <w:szCs w:val="22"/>
        </w:rPr>
      </w:pPr>
      <w:r w:rsidDel="00000000" w:rsidR="00000000" w:rsidRPr="00000000">
        <w:rPr>
          <w:rtl w:val="0"/>
        </w:rPr>
      </w:r>
    </w:p>
    <w:tbl>
      <w:tblPr>
        <w:tblStyle w:val="Table3"/>
        <w:tblW w:w="8645.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2"/>
        <w:gridCol w:w="5103"/>
        <w:tblGridChange w:id="0">
          <w:tblGrid>
            <w:gridCol w:w="3542"/>
            <w:gridCol w:w="5103"/>
          </w:tblGrid>
        </w:tblGridChange>
      </w:tblGrid>
      <w:tr>
        <w:trPr>
          <w:trHeight w:val="240" w:hRule="atLeast"/>
        </w:trPr>
        <w:tc>
          <w:tcPr>
            <w:gridSpan w:val="2"/>
            <w:shd w:fill="d9d9d9" w:val="clear"/>
          </w:tcPr>
          <w:p w:rsidR="00000000" w:rsidDel="00000000" w:rsidP="00000000" w:rsidRDefault="00000000" w:rsidRPr="00000000" w14:paraId="00000031">
            <w:pPr>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Additional courses for the ScB</w:t>
            </w:r>
          </w:p>
        </w:tc>
      </w:tr>
      <w:tr>
        <w:tc>
          <w:tcPr>
            <w:shd w:fill="d9d9d9" w:val="clear"/>
          </w:tcPr>
          <w:p w:rsidR="00000000" w:rsidDel="00000000" w:rsidP="00000000" w:rsidRDefault="00000000" w:rsidRPr="00000000" w14:paraId="00000033">
            <w:pPr>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Laboratory Course</w:t>
            </w:r>
          </w:p>
        </w:tc>
        <w:tc>
          <w:tcPr>
            <w:shd w:fill="d9d9d9" w:val="clear"/>
          </w:tcPr>
          <w:p w:rsidR="00000000" w:rsidDel="00000000" w:rsidP="00000000" w:rsidRDefault="00000000" w:rsidRPr="00000000" w14:paraId="0000003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Any 1000 level laboratory course in CLPS or NEUR 1650. Laboratory courses outside of CLPS or NEUR are not acceptable.  </w:t>
            </w:r>
          </w:p>
        </w:tc>
      </w:tr>
      <w:tr>
        <w:tc>
          <w:tcPr>
            <w:shd w:fill="d9d9d9" w:val="clear"/>
          </w:tcPr>
          <w:p w:rsidR="00000000" w:rsidDel="00000000" w:rsidP="00000000" w:rsidRDefault="00000000" w:rsidRPr="00000000" w14:paraId="00000035">
            <w:pPr>
              <w:rPr>
                <w:rFonts w:ascii="Calibri" w:cs="Calibri" w:eastAsia="Calibri" w:hAnsi="Calibri"/>
                <w:color w:val="000000"/>
                <w:sz w:val="22"/>
                <w:szCs w:val="22"/>
                <w:highlight w:val="lightGray"/>
              </w:rPr>
            </w:pPr>
            <w:r w:rsidDel="00000000" w:rsidR="00000000" w:rsidRPr="00000000">
              <w:rPr>
                <w:rFonts w:ascii="Calibri" w:cs="Calibri" w:eastAsia="Calibri" w:hAnsi="Calibri"/>
                <w:color w:val="000000"/>
                <w:sz w:val="22"/>
                <w:szCs w:val="22"/>
                <w:highlight w:val="lightGray"/>
                <w:rtl w:val="0"/>
              </w:rPr>
              <w:t xml:space="preserve">1.</w:t>
            </w:r>
          </w:p>
        </w:tc>
        <w:tc>
          <w:tcPr>
            <w:shd w:fill="d9d9d9" w:val="clear"/>
          </w:tcPr>
          <w:p w:rsidR="00000000" w:rsidDel="00000000" w:rsidP="00000000" w:rsidRDefault="00000000" w:rsidRPr="00000000" w14:paraId="00000036">
            <w:pPr>
              <w:rPr>
                <w:rFonts w:ascii="Calibri" w:cs="Calibri" w:eastAsia="Calibri" w:hAnsi="Calibri"/>
                <w:color w:val="000000"/>
                <w:sz w:val="22"/>
                <w:szCs w:val="22"/>
              </w:rPr>
            </w:pPr>
            <w:r w:rsidDel="00000000" w:rsidR="00000000" w:rsidRPr="00000000">
              <w:rPr>
                <w:rtl w:val="0"/>
              </w:rPr>
            </w:r>
          </w:p>
        </w:tc>
      </w:tr>
      <w:tr>
        <w:tc>
          <w:tcPr>
            <w:shd w:fill="d9d9d9" w:val="clear"/>
          </w:tcPr>
          <w:p w:rsidR="00000000" w:rsidDel="00000000" w:rsidP="00000000" w:rsidRDefault="00000000" w:rsidRPr="00000000" w14:paraId="00000037">
            <w:pPr>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Approved Science Courses</w:t>
            </w:r>
          </w:p>
        </w:tc>
        <w:tc>
          <w:tcPr>
            <w:tcBorders>
              <w:bottom w:color="000000" w:space="0" w:sz="4" w:val="single"/>
            </w:tcBorders>
            <w:shd w:fill="d9d9d9" w:val="clear"/>
          </w:tcPr>
          <w:p w:rsidR="00000000" w:rsidDel="00000000" w:rsidP="00000000" w:rsidRDefault="00000000" w:rsidRPr="00000000" w14:paraId="00000038">
            <w:pPr>
              <w:rPr>
                <w:rFonts w:ascii="Calibri" w:cs="Calibri" w:eastAsia="Calibri" w:hAnsi="Calibri"/>
                <w:color w:val="000000"/>
                <w:sz w:val="22"/>
                <w:szCs w:val="22"/>
              </w:rPr>
            </w:pPr>
            <w:r w:rsidDel="00000000" w:rsidR="00000000" w:rsidRPr="00000000">
              <w:rPr>
                <w:rtl w:val="0"/>
              </w:rPr>
            </w:r>
          </w:p>
        </w:tc>
      </w:tr>
      <w:tr>
        <w:trPr>
          <w:trHeight w:val="240" w:hRule="atLeast"/>
        </w:trPr>
        <w:tc>
          <w:tcPr>
            <w:shd w:fill="d9d9d9" w:val="clear"/>
          </w:tcPr>
          <w:p w:rsidR="00000000" w:rsidDel="00000000" w:rsidP="00000000" w:rsidRDefault="00000000" w:rsidRPr="00000000" w14:paraId="0000003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Merge w:val="restart"/>
            <w:tcBorders>
              <w:bottom w:color="000000" w:space="0" w:sz="0" w:val="nil"/>
            </w:tcBorders>
            <w:shd w:fill="d9d9d9" w:val="clear"/>
          </w:tcPr>
          <w:p w:rsidR="00000000" w:rsidDel="00000000" w:rsidP="00000000" w:rsidRDefault="00000000" w:rsidRPr="00000000" w14:paraId="0000003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Any 1000 level course in CLPS or NEUR </w:t>
            </w:r>
            <w:r w:rsidDel="00000000" w:rsidR="00000000" w:rsidRPr="00000000">
              <w:rPr>
                <w:rFonts w:ascii="Calibri" w:cs="Calibri" w:eastAsia="Calibri" w:hAnsi="Calibri"/>
                <w:color w:val="000000"/>
                <w:rtl w:val="0"/>
              </w:rPr>
              <w:t xml:space="preserve">or any course that fulfills a requirement for concentrations</w:t>
            </w:r>
            <w:r w:rsidDel="00000000" w:rsidR="00000000" w:rsidRPr="00000000">
              <w:rPr>
                <w:rFonts w:ascii="Calibri" w:cs="Calibri" w:eastAsia="Calibri" w:hAnsi="Calibri"/>
                <w:color w:val="000000"/>
                <w:sz w:val="22"/>
                <w:szCs w:val="22"/>
                <w:rtl w:val="0"/>
              </w:rPr>
              <w:t xml:space="preserve"> in APMA, BIOL, CHEM, CCSI, MATH, or PHYS is acceptable as a science course.  </w:t>
            </w:r>
          </w:p>
        </w:tc>
      </w:tr>
      <w:tr>
        <w:trPr>
          <w:trHeight w:val="240" w:hRule="atLeast"/>
        </w:trPr>
        <w:tc>
          <w:tcPr>
            <w:shd w:fill="d9d9d9" w:val="clear"/>
          </w:tcPr>
          <w:p w:rsidR="00000000" w:rsidDel="00000000" w:rsidP="00000000" w:rsidRDefault="00000000" w:rsidRPr="00000000" w14:paraId="0000003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vMerge w:val="continue"/>
            <w:tcBorders>
              <w:bottom w:color="000000" w:space="0" w:sz="0" w:val="nil"/>
            </w:tcBorders>
            <w:shd w:fill="d9d9d9" w:val="cle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r>
      <w:tr>
        <w:trPr>
          <w:trHeight w:val="240" w:hRule="atLeast"/>
        </w:trPr>
        <w:tc>
          <w:tcPr>
            <w:shd w:fill="d9d9d9" w:val="clear"/>
          </w:tcPr>
          <w:p w:rsidR="00000000" w:rsidDel="00000000" w:rsidP="00000000" w:rsidRDefault="00000000" w:rsidRPr="00000000" w14:paraId="0000003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vMerge w:val="continue"/>
            <w:tcBorders>
              <w:bottom w:color="000000" w:space="0" w:sz="0" w:val="nil"/>
            </w:tcBorders>
            <w:shd w:fill="d9d9d9" w:val="cle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r>
      <w:tr>
        <w:trPr>
          <w:trHeight w:val="240" w:hRule="atLeast"/>
        </w:trPr>
        <w:tc>
          <w:tcPr>
            <w:shd w:fill="d9d9d9" w:val="clear"/>
          </w:tcPr>
          <w:p w:rsidR="00000000" w:rsidDel="00000000" w:rsidP="00000000" w:rsidRDefault="00000000" w:rsidRPr="00000000" w14:paraId="0000003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vMerge w:val="continue"/>
            <w:tcBorders>
              <w:bottom w:color="000000" w:space="0" w:sz="0" w:val="nil"/>
            </w:tcBorders>
            <w:shd w:fill="d9d9d9" w:val="cle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41">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2">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3">
      <w:pPr>
        <w:ind w:left="-426" w:right="418"/>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Other important items for Advisors and Advisees</w:t>
      </w:r>
    </w:p>
    <w:p w:rsidR="00000000" w:rsidDel="00000000" w:rsidP="00000000" w:rsidRDefault="00000000" w:rsidRPr="00000000" w14:paraId="00000044">
      <w:pPr>
        <w:ind w:left="-426" w:right="418"/>
        <w:jc w:val="center"/>
        <w:rPr>
          <w:rFonts w:ascii="Calibri" w:cs="Calibri" w:eastAsia="Calibri" w:hAnsi="Calibri"/>
          <w:color w:val="000000"/>
          <w:sz w:val="22"/>
          <w:szCs w:val="22"/>
        </w:rPr>
      </w:pPr>
      <w:r w:rsidDel="00000000" w:rsidR="00000000" w:rsidRPr="00000000">
        <w:rPr>
          <w:rtl w:val="0"/>
        </w:rPr>
      </w:r>
    </w:p>
    <w:tbl>
      <w:tblPr>
        <w:tblStyle w:val="Table4"/>
        <w:tblW w:w="8645.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2"/>
        <w:gridCol w:w="5103"/>
        <w:tblGridChange w:id="0">
          <w:tblGrid>
            <w:gridCol w:w="3542"/>
            <w:gridCol w:w="5103"/>
          </w:tblGrid>
        </w:tblGridChange>
      </w:tblGrid>
      <w:tr>
        <w:trPr>
          <w:trHeight w:val="220" w:hRule="atLeast"/>
        </w:trPr>
        <w:tc>
          <w:tcPr>
            <w:gridSpan w:val="2"/>
            <w:shd w:fill="auto" w:val="clear"/>
          </w:tcPr>
          <w:p w:rsidR="00000000" w:rsidDel="00000000" w:rsidP="00000000" w:rsidRDefault="00000000" w:rsidRPr="00000000" w14:paraId="00000045">
            <w:pPr>
              <w:rPr>
                <w:rFonts w:ascii="Calibri" w:cs="Calibri" w:eastAsia="Calibri" w:hAnsi="Calibri"/>
                <w:b w:val="1"/>
                <w:color w:val="000000"/>
                <w:sz w:val="22"/>
                <w:szCs w:val="22"/>
                <w:highlight w:val="lightGray"/>
              </w:rPr>
            </w:pPr>
            <w:r w:rsidDel="00000000" w:rsidR="00000000" w:rsidRPr="00000000">
              <w:rPr>
                <w:rFonts w:ascii="Calibri" w:cs="Calibri" w:eastAsia="Calibri" w:hAnsi="Calibri"/>
                <w:color w:val="000000"/>
                <w:sz w:val="22"/>
                <w:szCs w:val="22"/>
                <w:rtl w:val="0"/>
              </w:rPr>
              <w:t xml:space="preserve">WRIT status is documented at the top of your concentration page. By the end of the next to last semester you should see  -  </w:t>
            </w:r>
            <w:r w:rsidDel="00000000" w:rsidR="00000000" w:rsidRPr="00000000">
              <w:rPr>
                <w:rFonts w:ascii="Calibri" w:cs="Calibri" w:eastAsia="Calibri" w:hAnsi="Calibri"/>
                <w:b w:val="1"/>
                <w:color w:val="000000"/>
                <w:sz w:val="22"/>
                <w:szCs w:val="22"/>
                <w:rtl w:val="0"/>
              </w:rPr>
              <w:t xml:space="preserve">WRQ 1: Completed      WRQ 2: Completed</w:t>
            </w:r>
            <w:r w:rsidDel="00000000" w:rsidR="00000000" w:rsidRPr="00000000">
              <w:rPr>
                <w:rtl w:val="0"/>
              </w:rPr>
            </w:r>
          </w:p>
        </w:tc>
      </w:tr>
      <w:tr>
        <w:trPr>
          <w:trHeight w:val="80" w:hRule="atLeast"/>
        </w:trPr>
        <w:tc>
          <w:tcPr/>
          <w:p w:rsidR="00000000" w:rsidDel="00000000" w:rsidP="00000000" w:rsidRDefault="00000000" w:rsidRPr="00000000" w14:paraId="00000047">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WRQ 1, Semester 1-4</w:t>
            </w:r>
            <w:r w:rsidDel="00000000" w:rsidR="00000000" w:rsidRPr="00000000">
              <w:rPr>
                <w:rtl w:val="0"/>
              </w:rPr>
            </w:r>
          </w:p>
        </w:tc>
        <w:tc>
          <w:tcPr/>
          <w:p w:rsidR="00000000" w:rsidDel="00000000" w:rsidP="00000000" w:rsidRDefault="00000000" w:rsidRPr="00000000" w14:paraId="00000048">
            <w:pPr>
              <w:rPr>
                <w:rFonts w:ascii="Calibri" w:cs="Calibri" w:eastAsia="Calibri" w:hAnsi="Calibri"/>
                <w:color w:val="000000"/>
                <w:sz w:val="22"/>
                <w:szCs w:val="22"/>
              </w:rPr>
            </w:pPr>
            <w:r w:rsidDel="00000000" w:rsidR="00000000" w:rsidRPr="00000000">
              <w:rPr>
                <w:rtl w:val="0"/>
              </w:rPr>
            </w:r>
          </w:p>
        </w:tc>
      </w:tr>
      <w:tr>
        <w:trPr>
          <w:trHeight w:val="80" w:hRule="atLeast"/>
        </w:trPr>
        <w:tc>
          <w:tcPr/>
          <w:p w:rsidR="00000000" w:rsidDel="00000000" w:rsidP="00000000" w:rsidRDefault="00000000" w:rsidRPr="00000000" w14:paraId="00000049">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WRQ 1, Semester 5-7</w:t>
            </w:r>
            <w:r w:rsidDel="00000000" w:rsidR="00000000" w:rsidRPr="00000000">
              <w:rPr>
                <w:rtl w:val="0"/>
              </w:rPr>
            </w:r>
          </w:p>
        </w:tc>
        <w:tc>
          <w:tcPr/>
          <w:p w:rsidR="00000000" w:rsidDel="00000000" w:rsidP="00000000" w:rsidRDefault="00000000" w:rsidRPr="00000000" w14:paraId="0000004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Dean of the College office will not approve courses taken before semester 5.  Seniors much complete the second WRIT requirement *before* the final semester.</w:t>
            </w:r>
          </w:p>
        </w:tc>
      </w:tr>
    </w:tbl>
    <w:p w:rsidR="00000000" w:rsidDel="00000000" w:rsidP="00000000" w:rsidRDefault="00000000" w:rsidRPr="00000000" w14:paraId="0000004B">
      <w:pPr>
        <w:jc w:val="both"/>
        <w:rPr>
          <w:rFonts w:ascii="Calibri" w:cs="Calibri" w:eastAsia="Calibri" w:hAnsi="Calibri"/>
          <w:color w:val="000000"/>
          <w:sz w:val="22"/>
          <w:szCs w:val="22"/>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