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D19" w14:textId="626C8EF4" w:rsidR="008E248A" w:rsidRPr="00CC4885" w:rsidRDefault="00610C09" w:rsidP="008E248A">
      <w:pPr>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October </w:t>
      </w:r>
      <w:r w:rsidR="008A4A84">
        <w:rPr>
          <w:rFonts w:asciiTheme="majorHAnsi" w:hAnsiTheme="majorHAnsi" w:cstheme="majorHAnsi"/>
          <w:color w:val="000000"/>
        </w:rPr>
        <w:t>11</w:t>
      </w:r>
      <w:r w:rsidRPr="00CC4885">
        <w:rPr>
          <w:rFonts w:asciiTheme="majorHAnsi" w:hAnsiTheme="majorHAnsi" w:cstheme="majorHAnsi"/>
          <w:color w:val="000000"/>
        </w:rPr>
        <w:t>, 2021</w:t>
      </w:r>
    </w:p>
    <w:p w14:paraId="6872BAED" w14:textId="27ABAA94" w:rsidR="008E248A" w:rsidRPr="00CC4885" w:rsidRDefault="008E248A" w:rsidP="008E248A">
      <w:pPr>
        <w:spacing w:line="240" w:lineRule="exact"/>
        <w:jc w:val="both"/>
        <w:rPr>
          <w:rFonts w:asciiTheme="majorHAnsi" w:hAnsiTheme="majorHAnsi" w:cstheme="majorHAnsi"/>
          <w:color w:val="000000"/>
        </w:rPr>
      </w:pPr>
    </w:p>
    <w:p w14:paraId="7FBBABDB" w14:textId="77777777" w:rsidR="00610C09" w:rsidRPr="00CC4885" w:rsidRDefault="00610C09" w:rsidP="008E248A">
      <w:pPr>
        <w:spacing w:line="240" w:lineRule="exact"/>
        <w:jc w:val="both"/>
        <w:rPr>
          <w:rFonts w:asciiTheme="majorHAnsi" w:hAnsiTheme="majorHAnsi" w:cstheme="majorHAnsi"/>
          <w:b/>
          <w:color w:val="000000"/>
        </w:rPr>
      </w:pPr>
    </w:p>
    <w:p w14:paraId="1479FCFA" w14:textId="77777777" w:rsidR="008E248A" w:rsidRPr="00CC4885" w:rsidRDefault="008E248A" w:rsidP="008E248A">
      <w:pPr>
        <w:spacing w:line="240" w:lineRule="exact"/>
        <w:jc w:val="both"/>
        <w:rPr>
          <w:rFonts w:asciiTheme="majorHAnsi" w:hAnsiTheme="majorHAnsi" w:cstheme="majorHAnsi"/>
          <w:b/>
          <w:color w:val="000000"/>
        </w:rPr>
      </w:pPr>
    </w:p>
    <w:p w14:paraId="26EAC55C" w14:textId="5C1EE107" w:rsidR="008E248A" w:rsidRPr="00CC4885" w:rsidRDefault="00610C09" w:rsidP="008E248A">
      <w:pPr>
        <w:spacing w:line="240" w:lineRule="exact"/>
        <w:jc w:val="both"/>
        <w:rPr>
          <w:rFonts w:asciiTheme="majorHAnsi" w:hAnsiTheme="majorHAnsi" w:cstheme="majorHAnsi"/>
          <w:color w:val="000000"/>
        </w:rPr>
      </w:pPr>
      <w:r w:rsidRPr="00CC4885">
        <w:rPr>
          <w:rFonts w:asciiTheme="majorHAnsi" w:hAnsiTheme="majorHAnsi" w:cstheme="majorHAnsi"/>
          <w:b/>
          <w:color w:val="000000"/>
        </w:rPr>
        <w:t>Therapeutic Sciences PhD Program</w:t>
      </w:r>
    </w:p>
    <w:p w14:paraId="17A2194A" w14:textId="77777777" w:rsidR="008E248A" w:rsidRPr="00CC4885" w:rsidRDefault="008E248A" w:rsidP="008E248A">
      <w:pPr>
        <w:spacing w:line="240" w:lineRule="exact"/>
        <w:jc w:val="both"/>
        <w:rPr>
          <w:rFonts w:asciiTheme="majorHAnsi" w:hAnsiTheme="majorHAnsi" w:cstheme="majorHAnsi"/>
          <w:color w:val="000000"/>
        </w:rPr>
      </w:pPr>
    </w:p>
    <w:p w14:paraId="2BFC1CE3" w14:textId="6A58FC14"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I. </w:t>
      </w:r>
      <w:r w:rsidRPr="00CC4885">
        <w:rPr>
          <w:rFonts w:asciiTheme="majorHAnsi" w:hAnsiTheme="majorHAnsi" w:cstheme="majorHAnsi"/>
          <w:color w:val="000000"/>
        </w:rPr>
        <w:tab/>
      </w:r>
      <w:r w:rsidR="00610C09" w:rsidRPr="00CC4885">
        <w:rPr>
          <w:rFonts w:asciiTheme="majorHAnsi" w:hAnsiTheme="majorHAnsi" w:cstheme="majorHAnsi"/>
          <w:color w:val="000000"/>
        </w:rPr>
        <w:t>Overview</w:t>
      </w:r>
      <w:r w:rsidR="003F592E">
        <w:rPr>
          <w:rFonts w:asciiTheme="majorHAnsi" w:hAnsiTheme="majorHAnsi" w:cstheme="majorHAnsi"/>
          <w:color w:val="000000"/>
        </w:rPr>
        <w:t>,</w:t>
      </w:r>
      <w:r w:rsidR="00610C09" w:rsidRPr="00CC4885">
        <w:rPr>
          <w:rFonts w:asciiTheme="majorHAnsi" w:hAnsiTheme="majorHAnsi" w:cstheme="majorHAnsi"/>
          <w:color w:val="000000"/>
        </w:rPr>
        <w:t xml:space="preserve"> </w:t>
      </w:r>
      <w:r w:rsidRPr="00CC4885">
        <w:rPr>
          <w:rFonts w:asciiTheme="majorHAnsi" w:hAnsiTheme="majorHAnsi" w:cstheme="majorHAnsi"/>
          <w:color w:val="000000"/>
        </w:rPr>
        <w:t>Governance</w:t>
      </w:r>
      <w:r w:rsidR="003F592E">
        <w:rPr>
          <w:rFonts w:asciiTheme="majorHAnsi" w:hAnsiTheme="majorHAnsi" w:cstheme="majorHAnsi"/>
          <w:color w:val="000000"/>
        </w:rPr>
        <w:t xml:space="preserve"> and Faculty</w:t>
      </w:r>
      <w:r w:rsidRPr="00CC4885">
        <w:rPr>
          <w:rFonts w:asciiTheme="majorHAnsi" w:hAnsiTheme="majorHAnsi" w:cstheme="majorHAnsi"/>
          <w:color w:val="000000"/>
        </w:rPr>
        <w:tab/>
      </w:r>
      <w:r w:rsidR="001473F2" w:rsidRPr="00CC4885">
        <w:rPr>
          <w:rFonts w:asciiTheme="majorHAnsi" w:hAnsiTheme="majorHAnsi" w:cstheme="majorHAnsi"/>
          <w:color w:val="000000"/>
        </w:rPr>
        <w:t xml:space="preserve">  </w:t>
      </w:r>
      <w:r w:rsidRPr="00CC4885">
        <w:rPr>
          <w:rFonts w:asciiTheme="majorHAnsi" w:hAnsiTheme="majorHAnsi" w:cstheme="majorHAnsi"/>
          <w:color w:val="000000"/>
        </w:rPr>
        <w:t>2</w:t>
      </w:r>
    </w:p>
    <w:p w14:paraId="01ECFB2C"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7B6C7E21" w14:textId="0360AAE4"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II. </w:t>
      </w:r>
      <w:r w:rsidRPr="00CC4885">
        <w:rPr>
          <w:rFonts w:asciiTheme="majorHAnsi" w:hAnsiTheme="majorHAnsi" w:cstheme="majorHAnsi"/>
          <w:color w:val="000000"/>
        </w:rPr>
        <w:tab/>
        <w:t>Admission</w:t>
      </w:r>
      <w:r w:rsidR="003F592E">
        <w:rPr>
          <w:rFonts w:asciiTheme="majorHAnsi" w:hAnsiTheme="majorHAnsi" w:cstheme="majorHAnsi"/>
          <w:color w:val="000000"/>
        </w:rPr>
        <w:t>s Process</w:t>
      </w:r>
      <w:r w:rsidRPr="00CC4885">
        <w:rPr>
          <w:rFonts w:asciiTheme="majorHAnsi" w:hAnsiTheme="majorHAnsi" w:cstheme="majorHAnsi"/>
          <w:color w:val="000000"/>
        </w:rPr>
        <w:tab/>
      </w:r>
      <w:r w:rsidR="00295F2B" w:rsidRPr="00CC4885">
        <w:rPr>
          <w:rFonts w:asciiTheme="majorHAnsi" w:hAnsiTheme="majorHAnsi" w:cstheme="majorHAnsi"/>
          <w:color w:val="000000"/>
        </w:rPr>
        <w:t xml:space="preserve">  </w:t>
      </w:r>
      <w:r w:rsidR="008A4A84">
        <w:rPr>
          <w:rFonts w:asciiTheme="majorHAnsi" w:hAnsiTheme="majorHAnsi" w:cstheme="majorHAnsi"/>
          <w:color w:val="000000"/>
        </w:rPr>
        <w:t>2</w:t>
      </w:r>
    </w:p>
    <w:p w14:paraId="0C2FAC35"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1BEE2D2C" w14:textId="10ED3CEB"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III. </w:t>
      </w:r>
      <w:r w:rsidRPr="00CC4885">
        <w:rPr>
          <w:rFonts w:asciiTheme="majorHAnsi" w:hAnsiTheme="majorHAnsi" w:cstheme="majorHAnsi"/>
          <w:color w:val="000000"/>
        </w:rPr>
        <w:tab/>
      </w:r>
      <w:r w:rsidR="00F84013" w:rsidRPr="00CC4885">
        <w:rPr>
          <w:rFonts w:asciiTheme="majorHAnsi" w:hAnsiTheme="majorHAnsi" w:cstheme="majorHAnsi"/>
          <w:color w:val="000000"/>
        </w:rPr>
        <w:t>Advising</w:t>
      </w:r>
      <w:r w:rsidR="0004797E" w:rsidRPr="00CC4885">
        <w:rPr>
          <w:rFonts w:asciiTheme="majorHAnsi" w:hAnsiTheme="majorHAnsi" w:cstheme="majorHAnsi"/>
          <w:color w:val="000000"/>
        </w:rPr>
        <w:t xml:space="preserve"> and Resources for </w:t>
      </w:r>
      <w:r w:rsidR="0064612F" w:rsidRPr="00CC4885">
        <w:rPr>
          <w:rFonts w:asciiTheme="majorHAnsi" w:hAnsiTheme="majorHAnsi" w:cstheme="majorHAnsi"/>
          <w:color w:val="000000"/>
        </w:rPr>
        <w:t>Student</w:t>
      </w:r>
      <w:r w:rsidR="0004797E" w:rsidRPr="00CC4885">
        <w:rPr>
          <w:rFonts w:asciiTheme="majorHAnsi" w:hAnsiTheme="majorHAnsi" w:cstheme="majorHAnsi"/>
          <w:color w:val="000000"/>
        </w:rPr>
        <w:t xml:space="preserve"> Support</w:t>
      </w:r>
      <w:r w:rsidRPr="00CC4885">
        <w:rPr>
          <w:rFonts w:asciiTheme="majorHAnsi" w:hAnsiTheme="majorHAnsi" w:cstheme="majorHAnsi"/>
          <w:color w:val="000000"/>
        </w:rPr>
        <w:tab/>
      </w:r>
      <w:r w:rsidR="00295F2B" w:rsidRPr="00CC4885">
        <w:rPr>
          <w:rFonts w:asciiTheme="majorHAnsi" w:hAnsiTheme="majorHAnsi" w:cstheme="majorHAnsi"/>
          <w:color w:val="000000"/>
        </w:rPr>
        <w:t xml:space="preserve">  </w:t>
      </w:r>
      <w:r w:rsidRPr="00CC4885">
        <w:rPr>
          <w:rFonts w:asciiTheme="majorHAnsi" w:hAnsiTheme="majorHAnsi" w:cstheme="majorHAnsi"/>
          <w:color w:val="000000"/>
        </w:rPr>
        <w:t>3</w:t>
      </w:r>
    </w:p>
    <w:p w14:paraId="1B47A224"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2623F88D" w14:textId="4966AE6C"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IV. </w:t>
      </w:r>
      <w:r w:rsidRPr="00CC4885">
        <w:rPr>
          <w:rFonts w:asciiTheme="majorHAnsi" w:hAnsiTheme="majorHAnsi" w:cstheme="majorHAnsi"/>
          <w:color w:val="000000"/>
        </w:rPr>
        <w:tab/>
        <w:t>Course of Study</w:t>
      </w:r>
      <w:r w:rsidRPr="00CC4885">
        <w:rPr>
          <w:rFonts w:asciiTheme="majorHAnsi" w:hAnsiTheme="majorHAnsi" w:cstheme="majorHAnsi"/>
          <w:color w:val="000000"/>
        </w:rPr>
        <w:tab/>
      </w:r>
      <w:r w:rsidR="00295F2B" w:rsidRPr="00CC4885">
        <w:rPr>
          <w:rFonts w:asciiTheme="majorHAnsi" w:hAnsiTheme="majorHAnsi" w:cstheme="majorHAnsi"/>
          <w:color w:val="000000"/>
        </w:rPr>
        <w:t xml:space="preserve">  </w:t>
      </w:r>
      <w:r w:rsidR="008A4A84">
        <w:rPr>
          <w:rFonts w:asciiTheme="majorHAnsi" w:hAnsiTheme="majorHAnsi" w:cstheme="majorHAnsi"/>
          <w:color w:val="000000"/>
        </w:rPr>
        <w:t>6</w:t>
      </w:r>
    </w:p>
    <w:p w14:paraId="472DE8B5" w14:textId="25F97794" w:rsidR="00F84013" w:rsidRPr="00CC4885" w:rsidRDefault="00F84013"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 xml:space="preserve">IV.A.  </w:t>
      </w:r>
      <w:r w:rsidR="00B02465">
        <w:rPr>
          <w:rFonts w:asciiTheme="majorHAnsi" w:hAnsiTheme="majorHAnsi" w:cstheme="majorHAnsi"/>
          <w:color w:val="000000"/>
        </w:rPr>
        <w:t xml:space="preserve">TSGP </w:t>
      </w:r>
      <w:r w:rsidRPr="00CC4885">
        <w:rPr>
          <w:rFonts w:asciiTheme="majorHAnsi" w:hAnsiTheme="majorHAnsi" w:cstheme="majorHAnsi"/>
          <w:color w:val="000000"/>
        </w:rPr>
        <w:t>Graded Coursework</w:t>
      </w:r>
      <w:r w:rsidR="00097795" w:rsidRPr="00CC4885">
        <w:rPr>
          <w:rFonts w:asciiTheme="majorHAnsi" w:hAnsiTheme="majorHAnsi" w:cstheme="majorHAnsi"/>
          <w:color w:val="000000"/>
        </w:rPr>
        <w:tab/>
      </w:r>
      <w:r w:rsidR="00295F2B" w:rsidRPr="00CC4885">
        <w:rPr>
          <w:rFonts w:asciiTheme="majorHAnsi" w:hAnsiTheme="majorHAnsi" w:cstheme="majorHAnsi"/>
          <w:color w:val="000000"/>
        </w:rPr>
        <w:t xml:space="preserve">  </w:t>
      </w:r>
      <w:r w:rsidR="008A4A84">
        <w:rPr>
          <w:rFonts w:asciiTheme="majorHAnsi" w:hAnsiTheme="majorHAnsi" w:cstheme="majorHAnsi"/>
          <w:color w:val="000000"/>
        </w:rPr>
        <w:t>6</w:t>
      </w:r>
    </w:p>
    <w:p w14:paraId="3CB71F00" w14:textId="059A1D5C" w:rsidR="00F84013" w:rsidRPr="00CC4885" w:rsidRDefault="00F84013"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IV.B.  Research Rotations</w:t>
      </w:r>
      <w:r w:rsidR="001741CE" w:rsidRPr="00CC4885">
        <w:rPr>
          <w:rFonts w:asciiTheme="majorHAnsi" w:hAnsiTheme="majorHAnsi" w:cstheme="majorHAnsi"/>
          <w:color w:val="000000"/>
        </w:rPr>
        <w:t xml:space="preserve"> and Optional Pfizer Internship.....</w:t>
      </w:r>
      <w:r w:rsidR="00295F2B" w:rsidRPr="00CC4885">
        <w:rPr>
          <w:rFonts w:asciiTheme="majorHAnsi" w:hAnsiTheme="majorHAnsi" w:cstheme="majorHAnsi"/>
          <w:color w:val="000000"/>
        </w:rPr>
        <w:t xml:space="preserve"> </w:t>
      </w:r>
      <w:r w:rsidR="008A4A84">
        <w:rPr>
          <w:rFonts w:asciiTheme="majorHAnsi" w:hAnsiTheme="majorHAnsi" w:cstheme="majorHAnsi"/>
          <w:color w:val="000000"/>
        </w:rPr>
        <w:t xml:space="preserve"> </w:t>
      </w:r>
      <w:r w:rsidR="00295F2B" w:rsidRPr="00CC4885">
        <w:rPr>
          <w:rFonts w:asciiTheme="majorHAnsi" w:hAnsiTheme="majorHAnsi" w:cstheme="majorHAnsi"/>
          <w:color w:val="000000"/>
        </w:rPr>
        <w:t xml:space="preserve"> </w:t>
      </w:r>
      <w:r w:rsidR="008A4A84">
        <w:rPr>
          <w:rFonts w:asciiTheme="majorHAnsi" w:hAnsiTheme="majorHAnsi" w:cstheme="majorHAnsi"/>
          <w:color w:val="000000"/>
        </w:rPr>
        <w:t>8</w:t>
      </w:r>
    </w:p>
    <w:p w14:paraId="553C9B56" w14:textId="6C11FA7C" w:rsidR="00F84013" w:rsidRPr="00CC4885" w:rsidRDefault="00F84013"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 xml:space="preserve">IV.C.  </w:t>
      </w:r>
      <w:r w:rsidR="00B02465" w:rsidRPr="00B02465">
        <w:rPr>
          <w:rFonts w:asciiTheme="majorHAnsi" w:hAnsiTheme="majorHAnsi" w:cstheme="majorHAnsi"/>
          <w:color w:val="000000"/>
        </w:rPr>
        <w:t>Ethics and Research Safety Coursework</w:t>
      </w:r>
      <w:r w:rsidR="00097795"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1</w:t>
      </w:r>
    </w:p>
    <w:p w14:paraId="20E238CF" w14:textId="2BF56B2D" w:rsidR="006615CD" w:rsidRPr="00CC4885" w:rsidRDefault="006615CD"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IV.D.  Fellowship Applications</w:t>
      </w:r>
      <w:r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1</w:t>
      </w:r>
    </w:p>
    <w:p w14:paraId="2ACB816D" w14:textId="6235E0D3" w:rsidR="006615CD" w:rsidRPr="00CC4885" w:rsidRDefault="006615CD"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IV.E.  Academic Plan for First Two Years</w:t>
      </w:r>
      <w:r w:rsidR="008A4A84">
        <w:rPr>
          <w:rFonts w:asciiTheme="majorHAnsi" w:hAnsiTheme="majorHAnsi" w:cstheme="majorHAnsi"/>
          <w:color w:val="000000"/>
        </w:rPr>
        <w:t xml:space="preserve"> and Beyond</w:t>
      </w:r>
      <w:r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1</w:t>
      </w:r>
    </w:p>
    <w:p w14:paraId="64AD6CAC" w14:textId="77777777" w:rsidR="00E04067" w:rsidRPr="00CC4885" w:rsidRDefault="00E04067" w:rsidP="006C74A9">
      <w:pPr>
        <w:tabs>
          <w:tab w:val="left" w:pos="720"/>
          <w:tab w:val="left" w:leader="dot" w:pos="6480"/>
        </w:tabs>
        <w:spacing w:line="240" w:lineRule="exact"/>
        <w:jc w:val="both"/>
        <w:rPr>
          <w:rFonts w:asciiTheme="majorHAnsi" w:hAnsiTheme="majorHAnsi" w:cstheme="majorHAnsi"/>
          <w:color w:val="000000"/>
        </w:rPr>
      </w:pPr>
    </w:p>
    <w:p w14:paraId="6C2EED54" w14:textId="182B86BF" w:rsidR="00E04067" w:rsidRPr="00CC4885" w:rsidRDefault="00E04067"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lang w:val="sv-SE"/>
        </w:rPr>
        <w:t xml:space="preserve">V. </w:t>
      </w:r>
      <w:r w:rsidRPr="00CC4885">
        <w:rPr>
          <w:rFonts w:asciiTheme="majorHAnsi" w:hAnsiTheme="majorHAnsi" w:cstheme="majorHAnsi"/>
          <w:color w:val="000000"/>
          <w:lang w:val="sv-SE"/>
        </w:rPr>
        <w:tab/>
        <w:t xml:space="preserve">Dissertation </w:t>
      </w:r>
      <w:r w:rsidRPr="00CC4885">
        <w:rPr>
          <w:rFonts w:asciiTheme="majorHAnsi" w:hAnsiTheme="majorHAnsi" w:cstheme="majorHAnsi"/>
          <w:color w:val="000000"/>
        </w:rPr>
        <w:t xml:space="preserve">Research </w:t>
      </w:r>
      <w:r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3</w:t>
      </w:r>
    </w:p>
    <w:p w14:paraId="442BAD2C" w14:textId="337C58AE" w:rsidR="0057248C" w:rsidRPr="00CC4885" w:rsidRDefault="0057248C"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 xml:space="preserve">V.A. </w:t>
      </w:r>
      <w:r w:rsidR="005E555D" w:rsidRPr="00CC4885">
        <w:rPr>
          <w:rFonts w:asciiTheme="majorHAnsi" w:hAnsiTheme="majorHAnsi" w:cstheme="majorHAnsi"/>
          <w:color w:val="000000"/>
        </w:rPr>
        <w:t xml:space="preserve"> </w:t>
      </w:r>
      <w:r w:rsidR="009452AA" w:rsidRPr="00CC4885">
        <w:rPr>
          <w:rFonts w:asciiTheme="majorHAnsi" w:hAnsiTheme="majorHAnsi" w:cstheme="majorHAnsi"/>
          <w:color w:val="000000"/>
        </w:rPr>
        <w:t>Qualifying Exam, Thesis Committee and Proposal</w:t>
      </w:r>
      <w:r w:rsidR="00746881"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3</w:t>
      </w:r>
    </w:p>
    <w:p w14:paraId="6F467361" w14:textId="1EFA4C6B" w:rsidR="0018302A" w:rsidRPr="00CC4885" w:rsidRDefault="0018302A"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V.B.  Progress Reports</w:t>
      </w:r>
      <w:r w:rsidR="00746881"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5</w:t>
      </w:r>
    </w:p>
    <w:p w14:paraId="362ACD90" w14:textId="09B518C4" w:rsidR="0018302A" w:rsidRPr="00CC4885" w:rsidRDefault="0018302A"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ab/>
        <w:t xml:space="preserve">V.C.  </w:t>
      </w:r>
      <w:r w:rsidR="009452AA" w:rsidRPr="00CC4885">
        <w:rPr>
          <w:rFonts w:asciiTheme="majorHAnsi" w:hAnsiTheme="majorHAnsi" w:cstheme="majorHAnsi"/>
          <w:color w:val="000000"/>
        </w:rPr>
        <w:t>Dissertation (Thesis) and Doctoral Defense</w:t>
      </w:r>
      <w:r w:rsidR="00097795" w:rsidRPr="00CC4885">
        <w:rPr>
          <w:rFonts w:asciiTheme="majorHAnsi" w:hAnsiTheme="majorHAnsi" w:cstheme="majorHAnsi"/>
          <w:color w:val="000000"/>
        </w:rPr>
        <w:tab/>
      </w:r>
      <w:r w:rsidR="006C727C" w:rsidRPr="00CC4885">
        <w:rPr>
          <w:rFonts w:asciiTheme="majorHAnsi" w:hAnsiTheme="majorHAnsi" w:cstheme="majorHAnsi"/>
          <w:color w:val="000000"/>
        </w:rPr>
        <w:t>1</w:t>
      </w:r>
      <w:r w:rsidR="008A4A84">
        <w:rPr>
          <w:rFonts w:asciiTheme="majorHAnsi" w:hAnsiTheme="majorHAnsi" w:cstheme="majorHAnsi"/>
          <w:color w:val="000000"/>
        </w:rPr>
        <w:t>5</w:t>
      </w:r>
    </w:p>
    <w:p w14:paraId="4D02F8E9"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639FFAA7" w14:textId="71DB1FAF" w:rsidR="00E04067" w:rsidRPr="00CC4885" w:rsidRDefault="00E04067" w:rsidP="006C74A9">
      <w:pPr>
        <w:tabs>
          <w:tab w:val="left" w:pos="720"/>
          <w:tab w:val="left" w:leader="dot" w:pos="6480"/>
        </w:tabs>
        <w:spacing w:line="240" w:lineRule="exact"/>
        <w:jc w:val="both"/>
        <w:rPr>
          <w:rFonts w:asciiTheme="majorHAnsi" w:hAnsiTheme="majorHAnsi" w:cstheme="majorHAnsi"/>
          <w:color w:val="000000"/>
          <w:lang w:val="sv-SE"/>
        </w:rPr>
      </w:pPr>
      <w:r w:rsidRPr="00CC4885">
        <w:rPr>
          <w:rFonts w:asciiTheme="majorHAnsi" w:hAnsiTheme="majorHAnsi" w:cstheme="majorHAnsi"/>
          <w:color w:val="000000"/>
          <w:lang w:val="sv-SE"/>
        </w:rPr>
        <w:t>VI.</w:t>
      </w:r>
      <w:r w:rsidRPr="00CC4885">
        <w:rPr>
          <w:rFonts w:asciiTheme="majorHAnsi" w:hAnsiTheme="majorHAnsi" w:cstheme="majorHAnsi"/>
          <w:color w:val="000000"/>
          <w:lang w:val="sv-SE"/>
        </w:rPr>
        <w:tab/>
      </w:r>
      <w:proofErr w:type="spellStart"/>
      <w:r w:rsidRPr="00CC4885">
        <w:rPr>
          <w:rFonts w:asciiTheme="majorHAnsi" w:hAnsiTheme="majorHAnsi" w:cstheme="majorHAnsi"/>
          <w:color w:val="000000"/>
          <w:lang w:val="sv-SE"/>
        </w:rPr>
        <w:t>Additional</w:t>
      </w:r>
      <w:proofErr w:type="spellEnd"/>
      <w:r w:rsidRPr="00CC4885">
        <w:rPr>
          <w:rFonts w:asciiTheme="majorHAnsi" w:hAnsiTheme="majorHAnsi" w:cstheme="majorHAnsi"/>
          <w:color w:val="000000"/>
          <w:lang w:val="sv-SE"/>
        </w:rPr>
        <w:t xml:space="preserve"> </w:t>
      </w:r>
      <w:proofErr w:type="spellStart"/>
      <w:r w:rsidRPr="00CC4885">
        <w:rPr>
          <w:rFonts w:asciiTheme="majorHAnsi" w:hAnsiTheme="majorHAnsi" w:cstheme="majorHAnsi"/>
          <w:color w:val="000000"/>
          <w:lang w:val="sv-SE"/>
        </w:rPr>
        <w:t>Training</w:t>
      </w:r>
      <w:proofErr w:type="spellEnd"/>
      <w:r w:rsidRPr="00CC4885">
        <w:rPr>
          <w:rFonts w:asciiTheme="majorHAnsi" w:hAnsiTheme="majorHAnsi" w:cstheme="majorHAnsi"/>
          <w:color w:val="000000"/>
          <w:lang w:val="sv-SE"/>
        </w:rPr>
        <w:t xml:space="preserve"> and </w:t>
      </w:r>
      <w:proofErr w:type="spellStart"/>
      <w:r w:rsidRPr="00CC4885">
        <w:rPr>
          <w:rFonts w:asciiTheme="majorHAnsi" w:hAnsiTheme="majorHAnsi" w:cstheme="majorHAnsi"/>
          <w:color w:val="000000"/>
          <w:lang w:val="sv-SE"/>
        </w:rPr>
        <w:t>Scientific</w:t>
      </w:r>
      <w:proofErr w:type="spellEnd"/>
      <w:r w:rsidRPr="00CC4885">
        <w:rPr>
          <w:rFonts w:asciiTheme="majorHAnsi" w:hAnsiTheme="majorHAnsi" w:cstheme="majorHAnsi"/>
          <w:color w:val="000000"/>
          <w:lang w:val="sv-SE"/>
        </w:rPr>
        <w:t xml:space="preserve"> </w:t>
      </w:r>
      <w:proofErr w:type="spellStart"/>
      <w:r w:rsidRPr="00CC4885">
        <w:rPr>
          <w:rFonts w:asciiTheme="majorHAnsi" w:hAnsiTheme="majorHAnsi" w:cstheme="majorHAnsi"/>
          <w:color w:val="000000"/>
          <w:lang w:val="sv-SE"/>
        </w:rPr>
        <w:t>Interactions</w:t>
      </w:r>
      <w:proofErr w:type="spellEnd"/>
      <w:r w:rsidR="00746881" w:rsidRPr="00CC4885">
        <w:rPr>
          <w:rFonts w:asciiTheme="majorHAnsi" w:hAnsiTheme="majorHAnsi" w:cstheme="majorHAnsi"/>
          <w:color w:val="000000"/>
          <w:lang w:val="sv-SE"/>
        </w:rPr>
        <w:tab/>
      </w:r>
      <w:r w:rsidR="006C727C" w:rsidRPr="00CC4885">
        <w:rPr>
          <w:rFonts w:asciiTheme="majorHAnsi" w:hAnsiTheme="majorHAnsi" w:cstheme="majorHAnsi"/>
          <w:color w:val="000000"/>
          <w:lang w:val="sv-SE"/>
        </w:rPr>
        <w:t>1</w:t>
      </w:r>
      <w:r w:rsidR="008A4A84">
        <w:rPr>
          <w:rFonts w:asciiTheme="majorHAnsi" w:hAnsiTheme="majorHAnsi" w:cstheme="majorHAnsi"/>
          <w:color w:val="000000"/>
          <w:lang w:val="sv-SE"/>
        </w:rPr>
        <w:t>6</w:t>
      </w:r>
    </w:p>
    <w:p w14:paraId="7252AB42" w14:textId="77777777" w:rsidR="00E04067" w:rsidRPr="00CC4885" w:rsidRDefault="00E04067" w:rsidP="006C74A9">
      <w:pPr>
        <w:tabs>
          <w:tab w:val="left" w:pos="720"/>
          <w:tab w:val="left" w:leader="dot" w:pos="6480"/>
        </w:tabs>
        <w:spacing w:line="240" w:lineRule="exact"/>
        <w:jc w:val="both"/>
        <w:rPr>
          <w:rFonts w:asciiTheme="majorHAnsi" w:hAnsiTheme="majorHAnsi" w:cstheme="majorHAnsi"/>
          <w:color w:val="000000"/>
          <w:lang w:val="sv-SE"/>
        </w:rPr>
      </w:pPr>
    </w:p>
    <w:p w14:paraId="35EB0BE8" w14:textId="15FDED72" w:rsidR="00E04067" w:rsidRPr="00CC4885" w:rsidRDefault="00E04067" w:rsidP="00E04067">
      <w:pPr>
        <w:tabs>
          <w:tab w:val="left" w:pos="720"/>
          <w:tab w:val="left" w:leader="dot" w:pos="6480"/>
        </w:tabs>
        <w:spacing w:line="240" w:lineRule="exact"/>
        <w:jc w:val="both"/>
        <w:rPr>
          <w:rFonts w:asciiTheme="majorHAnsi" w:hAnsiTheme="majorHAnsi" w:cstheme="majorHAnsi"/>
          <w:color w:val="000000"/>
          <w:lang w:val="sv-SE"/>
        </w:rPr>
      </w:pPr>
      <w:r w:rsidRPr="00CC4885">
        <w:rPr>
          <w:rFonts w:asciiTheme="majorHAnsi" w:hAnsiTheme="majorHAnsi" w:cstheme="majorHAnsi"/>
          <w:color w:val="000000"/>
        </w:rPr>
        <w:t xml:space="preserve">VII. </w:t>
      </w:r>
      <w:r w:rsidRPr="00CC4885">
        <w:rPr>
          <w:rFonts w:asciiTheme="majorHAnsi" w:hAnsiTheme="majorHAnsi" w:cstheme="majorHAnsi"/>
          <w:color w:val="000000"/>
        </w:rPr>
        <w:tab/>
      </w:r>
      <w:r w:rsidRPr="00CC4885">
        <w:rPr>
          <w:rFonts w:asciiTheme="majorHAnsi" w:hAnsiTheme="majorHAnsi" w:cstheme="majorHAnsi"/>
          <w:color w:val="000000"/>
          <w:lang w:val="sv-SE"/>
        </w:rPr>
        <w:t xml:space="preserve">Student </w:t>
      </w:r>
      <w:proofErr w:type="spellStart"/>
      <w:r w:rsidRPr="00CC4885">
        <w:rPr>
          <w:rFonts w:asciiTheme="majorHAnsi" w:hAnsiTheme="majorHAnsi" w:cstheme="majorHAnsi"/>
          <w:color w:val="000000"/>
          <w:lang w:val="sv-SE"/>
        </w:rPr>
        <w:t>Seminars</w:t>
      </w:r>
      <w:proofErr w:type="spellEnd"/>
      <w:r w:rsidRPr="00CC4885">
        <w:rPr>
          <w:rFonts w:asciiTheme="majorHAnsi" w:hAnsiTheme="majorHAnsi" w:cstheme="majorHAnsi"/>
          <w:color w:val="000000"/>
          <w:lang w:val="sv-SE"/>
        </w:rPr>
        <w:t xml:space="preserve"> </w:t>
      </w:r>
      <w:r w:rsidRPr="00CC4885">
        <w:rPr>
          <w:rFonts w:asciiTheme="majorHAnsi" w:hAnsiTheme="majorHAnsi" w:cstheme="majorHAnsi"/>
          <w:color w:val="000000"/>
          <w:lang w:val="sv-SE"/>
        </w:rPr>
        <w:tab/>
      </w:r>
      <w:r w:rsidR="006C727C" w:rsidRPr="00CC4885">
        <w:rPr>
          <w:rFonts w:asciiTheme="majorHAnsi" w:hAnsiTheme="majorHAnsi" w:cstheme="majorHAnsi"/>
          <w:color w:val="000000"/>
          <w:lang w:val="sv-SE"/>
        </w:rPr>
        <w:t>1</w:t>
      </w:r>
      <w:r w:rsidR="008A4A84">
        <w:rPr>
          <w:rFonts w:asciiTheme="majorHAnsi" w:hAnsiTheme="majorHAnsi" w:cstheme="majorHAnsi"/>
          <w:color w:val="000000"/>
          <w:lang w:val="sv-SE"/>
        </w:rPr>
        <w:t>7</w:t>
      </w:r>
    </w:p>
    <w:p w14:paraId="4542F898"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lang w:val="sv-SE"/>
        </w:rPr>
      </w:pPr>
    </w:p>
    <w:p w14:paraId="3547C426" w14:textId="7002F9C2"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lang w:val="sv-SE"/>
        </w:rPr>
      </w:pPr>
      <w:r w:rsidRPr="00CC4885">
        <w:rPr>
          <w:rFonts w:asciiTheme="majorHAnsi" w:hAnsiTheme="majorHAnsi" w:cstheme="majorHAnsi"/>
          <w:color w:val="000000"/>
          <w:lang w:val="sv-SE"/>
        </w:rPr>
        <w:t>VI</w:t>
      </w:r>
      <w:r w:rsidR="00E04067" w:rsidRPr="00CC4885">
        <w:rPr>
          <w:rFonts w:asciiTheme="majorHAnsi" w:hAnsiTheme="majorHAnsi" w:cstheme="majorHAnsi"/>
          <w:color w:val="000000"/>
          <w:lang w:val="sv-SE"/>
        </w:rPr>
        <w:t>II</w:t>
      </w:r>
      <w:r w:rsidRPr="00CC4885">
        <w:rPr>
          <w:rFonts w:asciiTheme="majorHAnsi" w:hAnsiTheme="majorHAnsi" w:cstheme="majorHAnsi"/>
          <w:color w:val="000000"/>
          <w:lang w:val="sv-SE"/>
        </w:rPr>
        <w:t xml:space="preserve">. </w:t>
      </w:r>
      <w:r w:rsidRPr="00CC4885">
        <w:rPr>
          <w:rFonts w:asciiTheme="majorHAnsi" w:hAnsiTheme="majorHAnsi" w:cstheme="majorHAnsi"/>
          <w:color w:val="000000"/>
          <w:lang w:val="sv-SE"/>
        </w:rPr>
        <w:tab/>
      </w:r>
      <w:proofErr w:type="spellStart"/>
      <w:r w:rsidRPr="00CC4885">
        <w:rPr>
          <w:rFonts w:asciiTheme="majorHAnsi" w:hAnsiTheme="majorHAnsi" w:cstheme="majorHAnsi"/>
          <w:color w:val="000000"/>
          <w:lang w:val="sv-SE"/>
        </w:rPr>
        <w:t>Teaching</w:t>
      </w:r>
      <w:proofErr w:type="spellEnd"/>
      <w:r w:rsidRPr="00CC4885">
        <w:rPr>
          <w:rFonts w:asciiTheme="majorHAnsi" w:hAnsiTheme="majorHAnsi" w:cstheme="majorHAnsi"/>
          <w:color w:val="000000"/>
          <w:lang w:val="sv-SE"/>
        </w:rPr>
        <w:tab/>
      </w:r>
      <w:r w:rsidR="006C727C" w:rsidRPr="00CC4885">
        <w:rPr>
          <w:rFonts w:asciiTheme="majorHAnsi" w:hAnsiTheme="majorHAnsi" w:cstheme="majorHAnsi"/>
          <w:color w:val="000000"/>
          <w:lang w:val="sv-SE"/>
        </w:rPr>
        <w:t>1</w:t>
      </w:r>
      <w:r w:rsidR="008A4A84">
        <w:rPr>
          <w:rFonts w:asciiTheme="majorHAnsi" w:hAnsiTheme="majorHAnsi" w:cstheme="majorHAnsi"/>
          <w:color w:val="000000"/>
          <w:lang w:val="sv-SE"/>
        </w:rPr>
        <w:t>7</w:t>
      </w:r>
    </w:p>
    <w:p w14:paraId="1D3CB2FC"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lang w:val="sv-SE"/>
        </w:rPr>
      </w:pPr>
    </w:p>
    <w:p w14:paraId="3136A8F0" w14:textId="0CDAA6F9" w:rsidR="006C74A9" w:rsidRPr="00CC4885" w:rsidRDefault="00E04067"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lang w:val="sv-SE"/>
        </w:rPr>
        <w:t>I</w:t>
      </w:r>
      <w:r w:rsidR="006C74A9" w:rsidRPr="00CC4885">
        <w:rPr>
          <w:rFonts w:asciiTheme="majorHAnsi" w:hAnsiTheme="majorHAnsi" w:cstheme="majorHAnsi"/>
          <w:color w:val="000000"/>
        </w:rPr>
        <w:t>X.</w:t>
      </w:r>
      <w:r w:rsidR="006C74A9" w:rsidRPr="00CC4885">
        <w:rPr>
          <w:rFonts w:asciiTheme="majorHAnsi" w:hAnsiTheme="majorHAnsi" w:cstheme="majorHAnsi"/>
          <w:color w:val="000000"/>
        </w:rPr>
        <w:tab/>
        <w:t xml:space="preserve">Financial </w:t>
      </w:r>
      <w:r w:rsidR="00160875" w:rsidRPr="00CC4885">
        <w:rPr>
          <w:rFonts w:asciiTheme="majorHAnsi" w:hAnsiTheme="majorHAnsi" w:cstheme="majorHAnsi"/>
          <w:color w:val="000000"/>
        </w:rPr>
        <w:t xml:space="preserve">Support </w:t>
      </w:r>
      <w:r w:rsidR="006C74A9" w:rsidRPr="00CC4885">
        <w:rPr>
          <w:rFonts w:asciiTheme="majorHAnsi" w:hAnsiTheme="majorHAnsi" w:cstheme="majorHAnsi"/>
          <w:color w:val="000000"/>
        </w:rPr>
        <w:tab/>
      </w:r>
      <w:r w:rsidR="008A4A84">
        <w:rPr>
          <w:rFonts w:asciiTheme="majorHAnsi" w:hAnsiTheme="majorHAnsi" w:cstheme="majorHAnsi"/>
          <w:color w:val="000000"/>
        </w:rPr>
        <w:t>19</w:t>
      </w:r>
    </w:p>
    <w:p w14:paraId="6089C279"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1FF68695" w14:textId="248B8EA2"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 xml:space="preserve">X. </w:t>
      </w:r>
      <w:r w:rsidRPr="00CC4885">
        <w:rPr>
          <w:rFonts w:asciiTheme="majorHAnsi" w:hAnsiTheme="majorHAnsi" w:cstheme="majorHAnsi"/>
          <w:color w:val="000000"/>
        </w:rPr>
        <w:tab/>
        <w:t>M</w:t>
      </w:r>
      <w:r w:rsidR="00610C09" w:rsidRPr="00CC4885">
        <w:rPr>
          <w:rFonts w:asciiTheme="majorHAnsi" w:hAnsiTheme="majorHAnsi" w:cstheme="majorHAnsi"/>
          <w:color w:val="000000"/>
        </w:rPr>
        <w:t>D/</w:t>
      </w:r>
      <w:r w:rsidRPr="00CC4885">
        <w:rPr>
          <w:rFonts w:asciiTheme="majorHAnsi" w:hAnsiTheme="majorHAnsi" w:cstheme="majorHAnsi"/>
          <w:color w:val="000000"/>
        </w:rPr>
        <w:t>PhD Degree</w:t>
      </w:r>
      <w:r w:rsidRPr="00CC4885">
        <w:rPr>
          <w:rFonts w:asciiTheme="majorHAnsi" w:hAnsiTheme="majorHAnsi" w:cstheme="majorHAnsi"/>
          <w:color w:val="000000"/>
        </w:rPr>
        <w:tab/>
      </w:r>
      <w:r w:rsidR="008A4A84">
        <w:rPr>
          <w:rFonts w:asciiTheme="majorHAnsi" w:hAnsiTheme="majorHAnsi" w:cstheme="majorHAnsi"/>
          <w:color w:val="000000"/>
        </w:rPr>
        <w:t>19</w:t>
      </w:r>
    </w:p>
    <w:p w14:paraId="4F95C7D0"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401F4D8E" w14:textId="730E5843"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XI.</w:t>
      </w:r>
      <w:r w:rsidRPr="00CC4885">
        <w:rPr>
          <w:rFonts w:asciiTheme="majorHAnsi" w:hAnsiTheme="majorHAnsi" w:cstheme="majorHAnsi"/>
          <w:color w:val="000000"/>
        </w:rPr>
        <w:tab/>
        <w:t>Leave</w:t>
      </w:r>
      <w:r w:rsidR="00610C09" w:rsidRPr="00CC4885">
        <w:rPr>
          <w:rFonts w:asciiTheme="majorHAnsi" w:hAnsiTheme="majorHAnsi" w:cstheme="majorHAnsi"/>
          <w:color w:val="000000"/>
        </w:rPr>
        <w:t>s</w:t>
      </w:r>
      <w:r w:rsidRPr="00CC4885">
        <w:rPr>
          <w:rFonts w:asciiTheme="majorHAnsi" w:hAnsiTheme="majorHAnsi" w:cstheme="majorHAnsi"/>
          <w:color w:val="000000"/>
        </w:rPr>
        <w:t xml:space="preserve"> of Absence</w:t>
      </w:r>
      <w:r w:rsidRPr="00CC4885">
        <w:rPr>
          <w:rFonts w:asciiTheme="majorHAnsi" w:hAnsiTheme="majorHAnsi" w:cstheme="majorHAnsi"/>
          <w:color w:val="000000"/>
        </w:rPr>
        <w:tab/>
      </w:r>
      <w:r w:rsidR="008A4A84">
        <w:rPr>
          <w:rFonts w:asciiTheme="majorHAnsi" w:hAnsiTheme="majorHAnsi" w:cstheme="majorHAnsi"/>
          <w:color w:val="000000"/>
        </w:rPr>
        <w:t>19</w:t>
      </w:r>
    </w:p>
    <w:p w14:paraId="0BEF1602" w14:textId="77777777" w:rsidR="006C74A9" w:rsidRPr="00CC4885" w:rsidRDefault="006C74A9" w:rsidP="006C74A9">
      <w:pPr>
        <w:tabs>
          <w:tab w:val="left" w:pos="720"/>
          <w:tab w:val="left" w:leader="dot" w:pos="6480"/>
        </w:tabs>
        <w:spacing w:line="240" w:lineRule="exact"/>
        <w:jc w:val="both"/>
        <w:rPr>
          <w:rFonts w:asciiTheme="majorHAnsi" w:hAnsiTheme="majorHAnsi" w:cstheme="majorHAnsi"/>
          <w:color w:val="000000"/>
        </w:rPr>
      </w:pPr>
    </w:p>
    <w:p w14:paraId="6E2C00E6" w14:textId="6A8A4666" w:rsidR="006C74A9" w:rsidRPr="00CC4885" w:rsidRDefault="00E04067" w:rsidP="006C74A9">
      <w:pPr>
        <w:tabs>
          <w:tab w:val="left" w:pos="720"/>
          <w:tab w:val="left" w:leader="dot" w:pos="6480"/>
        </w:tabs>
        <w:spacing w:line="240" w:lineRule="exact"/>
        <w:jc w:val="both"/>
        <w:rPr>
          <w:rFonts w:asciiTheme="majorHAnsi" w:hAnsiTheme="majorHAnsi" w:cstheme="majorHAnsi"/>
          <w:color w:val="000000"/>
        </w:rPr>
      </w:pPr>
      <w:r w:rsidRPr="00CC4885">
        <w:rPr>
          <w:rFonts w:asciiTheme="majorHAnsi" w:hAnsiTheme="majorHAnsi" w:cstheme="majorHAnsi"/>
          <w:color w:val="000000"/>
        </w:rPr>
        <w:t>XII</w:t>
      </w:r>
      <w:r w:rsidR="006C74A9" w:rsidRPr="00CC4885">
        <w:rPr>
          <w:rFonts w:asciiTheme="majorHAnsi" w:hAnsiTheme="majorHAnsi" w:cstheme="majorHAnsi"/>
          <w:color w:val="000000"/>
        </w:rPr>
        <w:t>.</w:t>
      </w:r>
      <w:r w:rsidR="006C74A9" w:rsidRPr="00CC4885">
        <w:rPr>
          <w:rFonts w:asciiTheme="majorHAnsi" w:hAnsiTheme="majorHAnsi" w:cstheme="majorHAnsi"/>
          <w:color w:val="000000"/>
        </w:rPr>
        <w:tab/>
      </w:r>
      <w:r w:rsidRPr="00CC4885">
        <w:rPr>
          <w:rFonts w:asciiTheme="majorHAnsi" w:hAnsiTheme="majorHAnsi" w:cstheme="majorHAnsi"/>
          <w:color w:val="000000"/>
        </w:rPr>
        <w:t xml:space="preserve">Academic </w:t>
      </w:r>
      <w:r w:rsidR="009F1024" w:rsidRPr="00CC4885">
        <w:rPr>
          <w:rFonts w:asciiTheme="majorHAnsi" w:hAnsiTheme="majorHAnsi" w:cstheme="majorHAnsi"/>
          <w:color w:val="000000"/>
        </w:rPr>
        <w:t>Warning</w:t>
      </w:r>
      <w:r w:rsidR="007528A0" w:rsidRPr="00CC4885">
        <w:rPr>
          <w:rFonts w:asciiTheme="majorHAnsi" w:hAnsiTheme="majorHAnsi" w:cstheme="majorHAnsi"/>
          <w:color w:val="000000"/>
        </w:rPr>
        <w:t>,</w:t>
      </w:r>
      <w:r w:rsidR="009F1024" w:rsidRPr="00CC4885">
        <w:rPr>
          <w:rFonts w:asciiTheme="majorHAnsi" w:hAnsiTheme="majorHAnsi" w:cstheme="majorHAnsi"/>
          <w:color w:val="000000"/>
        </w:rPr>
        <w:t xml:space="preserve"> </w:t>
      </w:r>
      <w:r w:rsidR="006C74A9" w:rsidRPr="00CC4885">
        <w:rPr>
          <w:rFonts w:asciiTheme="majorHAnsi" w:hAnsiTheme="majorHAnsi" w:cstheme="majorHAnsi"/>
          <w:color w:val="000000"/>
        </w:rPr>
        <w:t>Dismissal</w:t>
      </w:r>
      <w:r w:rsidR="007528A0" w:rsidRPr="00CC4885">
        <w:rPr>
          <w:rFonts w:asciiTheme="majorHAnsi" w:hAnsiTheme="majorHAnsi" w:cstheme="majorHAnsi"/>
          <w:color w:val="000000"/>
        </w:rPr>
        <w:t xml:space="preserve"> and Grievance Procedures</w:t>
      </w:r>
      <w:r w:rsidR="008A4A84">
        <w:rPr>
          <w:rFonts w:asciiTheme="majorHAnsi" w:hAnsiTheme="majorHAnsi" w:cstheme="majorHAnsi"/>
          <w:color w:val="000000"/>
        </w:rPr>
        <w:t>.....19</w:t>
      </w:r>
    </w:p>
    <w:p w14:paraId="6E32426B" w14:textId="77777777" w:rsidR="00097795" w:rsidRPr="00CC4885" w:rsidRDefault="00097795" w:rsidP="006C74A9">
      <w:pPr>
        <w:tabs>
          <w:tab w:val="left" w:pos="720"/>
          <w:tab w:val="left" w:leader="dot" w:pos="6480"/>
        </w:tabs>
        <w:spacing w:line="240" w:lineRule="exact"/>
        <w:jc w:val="both"/>
        <w:rPr>
          <w:rFonts w:asciiTheme="majorHAnsi" w:hAnsiTheme="majorHAnsi" w:cstheme="majorHAnsi"/>
          <w:color w:val="000000"/>
        </w:rPr>
      </w:pPr>
    </w:p>
    <w:p w14:paraId="1EF9DB8C" w14:textId="61BB4584" w:rsidR="00773451" w:rsidRPr="00887685" w:rsidRDefault="008E248A" w:rsidP="008E248A">
      <w:pPr>
        <w:jc w:val="both"/>
        <w:rPr>
          <w:rFonts w:asciiTheme="majorHAnsi" w:hAnsiTheme="majorHAnsi" w:cstheme="majorHAnsi"/>
          <w:b/>
          <w:color w:val="000000"/>
          <w:sz w:val="22"/>
          <w:szCs w:val="22"/>
        </w:rPr>
      </w:pPr>
      <w:r w:rsidRPr="00CC4885">
        <w:rPr>
          <w:rFonts w:asciiTheme="majorHAnsi" w:hAnsiTheme="majorHAnsi" w:cstheme="majorHAnsi"/>
          <w:color w:val="000000"/>
        </w:rPr>
        <w:br w:type="page"/>
      </w:r>
      <w:r w:rsidR="00773451" w:rsidRPr="00887685">
        <w:rPr>
          <w:rFonts w:asciiTheme="majorHAnsi" w:hAnsiTheme="majorHAnsi" w:cstheme="majorHAnsi"/>
          <w:b/>
          <w:bCs/>
          <w:color w:val="000000"/>
          <w:sz w:val="22"/>
          <w:szCs w:val="22"/>
        </w:rPr>
        <w:lastRenderedPageBreak/>
        <w:t>THERAPEUTIC SCIENCES</w:t>
      </w:r>
      <w:r w:rsidR="00773451" w:rsidRPr="00887685">
        <w:rPr>
          <w:rFonts w:asciiTheme="majorHAnsi" w:hAnsiTheme="majorHAnsi" w:cstheme="majorHAnsi"/>
          <w:color w:val="000000"/>
          <w:sz w:val="22"/>
          <w:szCs w:val="22"/>
        </w:rPr>
        <w:t xml:space="preserve"> </w:t>
      </w:r>
      <w:r w:rsidR="00773451" w:rsidRPr="00887685">
        <w:rPr>
          <w:rFonts w:asciiTheme="majorHAnsi" w:hAnsiTheme="majorHAnsi" w:cstheme="majorHAnsi"/>
          <w:b/>
          <w:color w:val="000000"/>
          <w:sz w:val="22"/>
          <w:szCs w:val="22"/>
        </w:rPr>
        <w:t>GRADUATE</w:t>
      </w:r>
      <w:r w:rsidRPr="00887685">
        <w:rPr>
          <w:rFonts w:asciiTheme="majorHAnsi" w:hAnsiTheme="majorHAnsi" w:cstheme="majorHAnsi"/>
          <w:b/>
          <w:color w:val="000000"/>
          <w:sz w:val="22"/>
          <w:szCs w:val="22"/>
        </w:rPr>
        <w:t xml:space="preserve"> PROGRAM </w:t>
      </w:r>
      <w:r w:rsidR="00773451" w:rsidRPr="00887685">
        <w:rPr>
          <w:rFonts w:asciiTheme="majorHAnsi" w:hAnsiTheme="majorHAnsi" w:cstheme="majorHAnsi"/>
          <w:b/>
          <w:color w:val="000000"/>
          <w:sz w:val="22"/>
          <w:szCs w:val="22"/>
        </w:rPr>
        <w:t>(TSGP)</w:t>
      </w:r>
      <w:r w:rsidR="00A22215" w:rsidRPr="00887685">
        <w:rPr>
          <w:rFonts w:asciiTheme="majorHAnsi" w:hAnsiTheme="majorHAnsi" w:cstheme="majorHAnsi"/>
          <w:b/>
          <w:color w:val="000000"/>
          <w:sz w:val="22"/>
          <w:szCs w:val="22"/>
        </w:rPr>
        <w:t xml:space="preserve">: </w:t>
      </w:r>
      <w:r w:rsidR="00773451" w:rsidRPr="00887685">
        <w:rPr>
          <w:rFonts w:asciiTheme="majorHAnsi" w:hAnsiTheme="majorHAnsi" w:cstheme="majorHAnsi"/>
          <w:b/>
          <w:color w:val="000000"/>
          <w:sz w:val="22"/>
          <w:szCs w:val="22"/>
        </w:rPr>
        <w:t xml:space="preserve"> </w:t>
      </w:r>
    </w:p>
    <w:p w14:paraId="68413349" w14:textId="426F4A11" w:rsidR="008E248A" w:rsidRPr="00887685" w:rsidRDefault="008E248A" w:rsidP="008E248A">
      <w:pPr>
        <w:jc w:val="both"/>
        <w:rPr>
          <w:rFonts w:asciiTheme="majorHAnsi" w:hAnsiTheme="majorHAnsi" w:cstheme="majorHAnsi"/>
          <w:color w:val="000000"/>
          <w:sz w:val="22"/>
          <w:szCs w:val="22"/>
        </w:rPr>
      </w:pPr>
    </w:p>
    <w:p w14:paraId="3F2631A5" w14:textId="5ABCFBCA" w:rsidR="00773451" w:rsidRPr="00887685" w:rsidRDefault="00773451" w:rsidP="00773451">
      <w:pPr>
        <w:ind w:right="-90"/>
        <w:rPr>
          <w:rFonts w:asciiTheme="majorHAnsi" w:hAnsiTheme="majorHAnsi" w:cstheme="majorHAnsi"/>
          <w:b/>
          <w:color w:val="000000"/>
          <w:sz w:val="22"/>
          <w:szCs w:val="22"/>
        </w:rPr>
      </w:pPr>
      <w:r w:rsidRPr="00887685">
        <w:rPr>
          <w:rFonts w:asciiTheme="majorHAnsi" w:hAnsiTheme="majorHAnsi" w:cstheme="majorHAnsi"/>
          <w:b/>
          <w:color w:val="000000"/>
          <w:sz w:val="22"/>
          <w:szCs w:val="22"/>
        </w:rPr>
        <w:t>I. Overview</w:t>
      </w:r>
      <w:r w:rsidR="003F592E" w:rsidRPr="00887685">
        <w:rPr>
          <w:rFonts w:asciiTheme="majorHAnsi" w:hAnsiTheme="majorHAnsi" w:cstheme="majorHAnsi"/>
          <w:b/>
          <w:color w:val="000000"/>
          <w:sz w:val="22"/>
          <w:szCs w:val="22"/>
        </w:rPr>
        <w:t>,</w:t>
      </w:r>
      <w:r w:rsidRPr="00887685">
        <w:rPr>
          <w:rFonts w:asciiTheme="majorHAnsi" w:hAnsiTheme="majorHAnsi" w:cstheme="majorHAnsi"/>
          <w:b/>
          <w:color w:val="000000"/>
          <w:sz w:val="22"/>
          <w:szCs w:val="22"/>
        </w:rPr>
        <w:t xml:space="preserve"> Governance</w:t>
      </w:r>
      <w:r w:rsidR="003F592E" w:rsidRPr="00887685">
        <w:rPr>
          <w:rFonts w:asciiTheme="majorHAnsi" w:hAnsiTheme="majorHAnsi" w:cstheme="majorHAnsi"/>
          <w:b/>
          <w:color w:val="000000"/>
          <w:sz w:val="22"/>
          <w:szCs w:val="22"/>
        </w:rPr>
        <w:t xml:space="preserve"> and Faculty</w:t>
      </w:r>
    </w:p>
    <w:p w14:paraId="42793655" w14:textId="374B6DD2" w:rsidR="00773451" w:rsidRPr="00887685" w:rsidRDefault="00773451" w:rsidP="008E248A">
      <w:pPr>
        <w:jc w:val="both"/>
        <w:rPr>
          <w:rFonts w:asciiTheme="majorHAnsi" w:hAnsiTheme="majorHAnsi" w:cstheme="majorHAnsi"/>
          <w:color w:val="000000"/>
          <w:sz w:val="22"/>
          <w:szCs w:val="22"/>
        </w:rPr>
      </w:pPr>
    </w:p>
    <w:p w14:paraId="51FE6953" w14:textId="4BE15224" w:rsidR="00CC4885" w:rsidRPr="00CC4885" w:rsidRDefault="00CC4885" w:rsidP="0098330A">
      <w:pPr>
        <w:jc w:val="both"/>
        <w:rPr>
          <w:rFonts w:asciiTheme="majorHAnsi" w:hAnsiTheme="majorHAnsi" w:cstheme="majorHAnsi"/>
          <w:color w:val="000000"/>
          <w:sz w:val="22"/>
          <w:szCs w:val="22"/>
        </w:rPr>
      </w:pPr>
      <w:r w:rsidRPr="00887685">
        <w:rPr>
          <w:rFonts w:asciiTheme="majorHAnsi" w:hAnsiTheme="majorHAnsi" w:cstheme="majorHAnsi"/>
          <w:color w:val="000000"/>
          <w:sz w:val="22"/>
          <w:szCs w:val="22"/>
        </w:rPr>
        <w:t>The Therapeutic Sciences Graduate Program (TSGP) offers advanced training appropriate for academic and resea</w:t>
      </w:r>
      <w:r w:rsidRPr="00CC4885">
        <w:rPr>
          <w:rFonts w:asciiTheme="majorHAnsi" w:hAnsiTheme="majorHAnsi" w:cstheme="majorHAnsi"/>
          <w:color w:val="000000"/>
          <w:sz w:val="22"/>
          <w:szCs w:val="22"/>
        </w:rPr>
        <w:t>rch careers in the fields of biology and medical sciences with a focus on determining disease mechanisms, drug actions, and developing novel therapies.  The program has two degrees:  a PhD in Therapeutic Sciences; and a Masters degree (</w:t>
      </w:r>
      <w:proofErr w:type="spellStart"/>
      <w:r w:rsidRPr="00CC4885">
        <w:rPr>
          <w:rFonts w:asciiTheme="majorHAnsi" w:hAnsiTheme="majorHAnsi" w:cstheme="majorHAnsi"/>
          <w:color w:val="000000"/>
          <w:sz w:val="22"/>
          <w:szCs w:val="22"/>
        </w:rPr>
        <w:t>ScM</w:t>
      </w:r>
      <w:proofErr w:type="spellEnd"/>
      <w:r w:rsidRPr="00CC4885">
        <w:rPr>
          <w:rFonts w:asciiTheme="majorHAnsi" w:hAnsiTheme="majorHAnsi" w:cstheme="majorHAnsi"/>
          <w:color w:val="000000"/>
          <w:sz w:val="22"/>
          <w:szCs w:val="22"/>
        </w:rPr>
        <w:t xml:space="preserve"> or AM) in Biotechnology.  </w:t>
      </w:r>
      <w:r w:rsidRPr="00CC4885">
        <w:rPr>
          <w:rFonts w:asciiTheme="majorHAnsi" w:eastAsia="Arial" w:hAnsiTheme="majorHAnsi" w:cstheme="majorHAnsi"/>
          <w:color w:val="000000"/>
          <w:sz w:val="22"/>
          <w:szCs w:val="22"/>
        </w:rPr>
        <w:t>However, the PhD and Masters students share many activities and experiences and function as one community, TSGP.  The program also includes MD/PhD students and 5th-year masters students.</w:t>
      </w:r>
      <w:r w:rsidR="00FD7A5A">
        <w:rPr>
          <w:rFonts w:asciiTheme="majorHAnsi" w:eastAsia="Arial" w:hAnsiTheme="majorHAnsi" w:cstheme="majorHAnsi"/>
          <w:color w:val="000000"/>
          <w:sz w:val="22"/>
          <w:szCs w:val="22"/>
        </w:rPr>
        <w:t xml:space="preserve">  </w:t>
      </w:r>
      <w:r w:rsidR="00FD7A5A" w:rsidRPr="00E449A5">
        <w:rPr>
          <w:rFonts w:asciiTheme="majorHAnsi" w:eastAsia="Arial" w:hAnsiTheme="majorHAnsi" w:cstheme="majorHAnsi"/>
          <w:b/>
          <w:bCs/>
          <w:i/>
          <w:iCs/>
          <w:color w:val="000000"/>
          <w:sz w:val="22"/>
          <w:szCs w:val="22"/>
        </w:rPr>
        <w:t>This document focuses on the PhD program, expanding on some areas presented briefly in the TSGP Guidelines, and providing advice and resources to help the PhD students succeed.</w:t>
      </w:r>
    </w:p>
    <w:p w14:paraId="072B35BC" w14:textId="77777777" w:rsidR="008E248A" w:rsidRPr="00CC4885" w:rsidRDefault="008E248A" w:rsidP="0098330A">
      <w:pPr>
        <w:jc w:val="both"/>
        <w:rPr>
          <w:rFonts w:asciiTheme="majorHAnsi" w:hAnsiTheme="majorHAnsi" w:cstheme="majorHAnsi"/>
          <w:color w:val="000000"/>
        </w:rPr>
      </w:pPr>
    </w:p>
    <w:p w14:paraId="1FB91696" w14:textId="139C2286" w:rsidR="008E248A" w:rsidRPr="003F592E" w:rsidRDefault="008E248A" w:rsidP="00A267C6">
      <w:pPr>
        <w:jc w:val="both"/>
        <w:rPr>
          <w:rFonts w:asciiTheme="majorHAnsi" w:hAnsiTheme="majorHAnsi" w:cstheme="majorHAnsi"/>
          <w:color w:val="000000"/>
          <w:sz w:val="22"/>
          <w:szCs w:val="22"/>
        </w:rPr>
      </w:pPr>
      <w:r w:rsidRPr="003F592E">
        <w:rPr>
          <w:rFonts w:asciiTheme="majorHAnsi" w:hAnsiTheme="majorHAnsi" w:cstheme="majorHAnsi"/>
          <w:color w:val="000000"/>
          <w:sz w:val="22"/>
          <w:szCs w:val="22"/>
        </w:rPr>
        <w:t xml:space="preserve">To </w:t>
      </w:r>
      <w:r w:rsidR="00A22215" w:rsidRPr="003F592E">
        <w:rPr>
          <w:rFonts w:asciiTheme="majorHAnsi" w:hAnsiTheme="majorHAnsi" w:cstheme="majorHAnsi"/>
          <w:color w:val="000000"/>
          <w:sz w:val="22"/>
          <w:szCs w:val="22"/>
        </w:rPr>
        <w:t>complete the</w:t>
      </w:r>
      <w:r w:rsidRPr="003F592E">
        <w:rPr>
          <w:rFonts w:asciiTheme="majorHAnsi" w:hAnsiTheme="majorHAnsi" w:cstheme="majorHAnsi"/>
          <w:color w:val="000000"/>
          <w:sz w:val="22"/>
          <w:szCs w:val="22"/>
        </w:rPr>
        <w:t xml:space="preserve"> </w:t>
      </w:r>
      <w:r w:rsidR="00FD7A5A" w:rsidRPr="003F592E">
        <w:rPr>
          <w:rFonts w:asciiTheme="majorHAnsi" w:hAnsiTheme="majorHAnsi" w:cstheme="majorHAnsi"/>
          <w:color w:val="000000"/>
          <w:sz w:val="22"/>
          <w:szCs w:val="22"/>
        </w:rPr>
        <w:t>PhD</w:t>
      </w:r>
      <w:r w:rsidRPr="003F592E">
        <w:rPr>
          <w:rFonts w:asciiTheme="majorHAnsi" w:hAnsiTheme="majorHAnsi" w:cstheme="majorHAnsi"/>
          <w:color w:val="000000"/>
          <w:sz w:val="22"/>
          <w:szCs w:val="22"/>
        </w:rPr>
        <w:t xml:space="preserve"> </w:t>
      </w:r>
      <w:r w:rsidR="00A22215" w:rsidRPr="003F592E">
        <w:rPr>
          <w:rFonts w:asciiTheme="majorHAnsi" w:hAnsiTheme="majorHAnsi" w:cstheme="majorHAnsi"/>
          <w:color w:val="000000"/>
          <w:sz w:val="22"/>
          <w:szCs w:val="22"/>
        </w:rPr>
        <w:t>in Therapeutic Sciences,</w:t>
      </w:r>
      <w:r w:rsidRPr="003F592E">
        <w:rPr>
          <w:rFonts w:asciiTheme="majorHAnsi" w:hAnsiTheme="majorHAnsi" w:cstheme="majorHAnsi"/>
          <w:color w:val="000000"/>
          <w:sz w:val="22"/>
          <w:szCs w:val="22"/>
        </w:rPr>
        <w:t xml:space="preserve"> students must earn an A or B in required courses, pass a preliminary</w:t>
      </w:r>
      <w:r w:rsidR="00CF64CA" w:rsidRPr="003F592E">
        <w:rPr>
          <w:rFonts w:asciiTheme="majorHAnsi" w:hAnsiTheme="majorHAnsi" w:cstheme="majorHAnsi"/>
          <w:color w:val="000000"/>
          <w:sz w:val="22"/>
          <w:szCs w:val="22"/>
        </w:rPr>
        <w:t xml:space="preserve"> (qualifying)</w:t>
      </w:r>
      <w:r w:rsidRPr="003F592E">
        <w:rPr>
          <w:rFonts w:asciiTheme="majorHAnsi" w:hAnsiTheme="majorHAnsi" w:cstheme="majorHAnsi"/>
          <w:color w:val="000000"/>
          <w:sz w:val="22"/>
          <w:szCs w:val="22"/>
        </w:rPr>
        <w:t xml:space="preserve"> research examination according to established schedules, complete and publicly defend a doctoral dissertation, and participate in the undergraduate </w:t>
      </w:r>
      <w:r w:rsidR="00D405B5" w:rsidRPr="003F592E">
        <w:rPr>
          <w:rFonts w:asciiTheme="majorHAnsi" w:hAnsiTheme="majorHAnsi" w:cstheme="majorHAnsi"/>
          <w:color w:val="000000"/>
          <w:sz w:val="22"/>
          <w:szCs w:val="22"/>
        </w:rPr>
        <w:t>and/</w:t>
      </w:r>
      <w:r w:rsidR="00525293" w:rsidRPr="003F592E">
        <w:rPr>
          <w:rFonts w:asciiTheme="majorHAnsi" w:hAnsiTheme="majorHAnsi" w:cstheme="majorHAnsi"/>
          <w:color w:val="000000"/>
          <w:sz w:val="22"/>
          <w:szCs w:val="22"/>
        </w:rPr>
        <w:t xml:space="preserve">or </w:t>
      </w:r>
      <w:r w:rsidRPr="003F592E">
        <w:rPr>
          <w:rFonts w:asciiTheme="majorHAnsi" w:hAnsiTheme="majorHAnsi" w:cstheme="majorHAnsi"/>
          <w:color w:val="000000"/>
          <w:sz w:val="22"/>
          <w:szCs w:val="22"/>
        </w:rPr>
        <w:t xml:space="preserve">graduate teaching programs of the Division of Biology and Medicine. </w:t>
      </w:r>
      <w:r w:rsidR="007A31C5" w:rsidRPr="003F592E">
        <w:rPr>
          <w:rFonts w:asciiTheme="majorHAnsi" w:hAnsiTheme="majorHAnsi" w:cstheme="majorHAnsi"/>
          <w:color w:val="000000"/>
          <w:sz w:val="22"/>
          <w:szCs w:val="22"/>
        </w:rPr>
        <w:t xml:space="preserve"> </w:t>
      </w:r>
      <w:r w:rsidRPr="003F592E">
        <w:rPr>
          <w:rFonts w:asciiTheme="majorHAnsi" w:hAnsiTheme="majorHAnsi" w:cstheme="majorHAnsi"/>
          <w:color w:val="000000"/>
          <w:sz w:val="22"/>
          <w:szCs w:val="22"/>
        </w:rPr>
        <w:t xml:space="preserve">Attainment of the </w:t>
      </w:r>
      <w:r w:rsidR="00FD7A5A" w:rsidRPr="003F592E">
        <w:rPr>
          <w:rFonts w:asciiTheme="majorHAnsi" w:hAnsiTheme="majorHAnsi" w:cstheme="majorHAnsi"/>
          <w:color w:val="000000"/>
          <w:sz w:val="22"/>
          <w:szCs w:val="22"/>
        </w:rPr>
        <w:t>PhD</w:t>
      </w:r>
      <w:r w:rsidRPr="003F592E">
        <w:rPr>
          <w:rFonts w:asciiTheme="majorHAnsi" w:hAnsiTheme="majorHAnsi" w:cstheme="majorHAnsi"/>
          <w:color w:val="000000"/>
          <w:sz w:val="22"/>
          <w:szCs w:val="22"/>
        </w:rPr>
        <w:t xml:space="preserve"> degree </w:t>
      </w:r>
      <w:r w:rsidR="00947AFD" w:rsidRPr="003F592E">
        <w:rPr>
          <w:rFonts w:asciiTheme="majorHAnsi" w:hAnsiTheme="majorHAnsi" w:cstheme="majorHAnsi"/>
          <w:color w:val="000000"/>
          <w:sz w:val="22"/>
          <w:szCs w:val="22"/>
        </w:rPr>
        <w:t>is expected to be completed in 4 to 5 years</w:t>
      </w:r>
      <w:r w:rsidRPr="003F592E">
        <w:rPr>
          <w:rFonts w:asciiTheme="majorHAnsi" w:hAnsiTheme="majorHAnsi" w:cstheme="majorHAnsi"/>
          <w:color w:val="000000"/>
          <w:sz w:val="22"/>
          <w:szCs w:val="22"/>
        </w:rPr>
        <w:t xml:space="preserve">.  </w:t>
      </w:r>
      <w:r w:rsidR="00A22215" w:rsidRPr="003F592E">
        <w:rPr>
          <w:rFonts w:asciiTheme="majorHAnsi" w:hAnsiTheme="majorHAnsi" w:cstheme="majorHAnsi"/>
          <w:color w:val="000000"/>
          <w:sz w:val="22"/>
          <w:szCs w:val="22"/>
        </w:rPr>
        <w:t>Details of these requirements appear in other sections below.</w:t>
      </w:r>
    </w:p>
    <w:p w14:paraId="6279AA9B" w14:textId="77777777" w:rsidR="00845452" w:rsidRPr="003F592E" w:rsidRDefault="00845452" w:rsidP="00845452">
      <w:pPr>
        <w:jc w:val="both"/>
        <w:rPr>
          <w:rFonts w:asciiTheme="majorHAnsi" w:hAnsiTheme="majorHAnsi" w:cstheme="majorHAnsi"/>
          <w:color w:val="000000"/>
          <w:sz w:val="22"/>
          <w:szCs w:val="22"/>
        </w:rPr>
      </w:pPr>
    </w:p>
    <w:p w14:paraId="7325337C" w14:textId="77777777" w:rsidR="003F592E" w:rsidRPr="003F592E" w:rsidRDefault="00845452" w:rsidP="003F592E">
      <w:pPr>
        <w:jc w:val="both"/>
        <w:rPr>
          <w:rFonts w:asciiTheme="majorHAnsi" w:hAnsiTheme="majorHAnsi" w:cstheme="majorHAnsi"/>
          <w:color w:val="000000"/>
          <w:sz w:val="22"/>
          <w:szCs w:val="22"/>
        </w:rPr>
      </w:pPr>
      <w:r w:rsidRPr="003F592E">
        <w:rPr>
          <w:rFonts w:asciiTheme="majorHAnsi" w:hAnsiTheme="majorHAnsi" w:cstheme="majorHAnsi"/>
          <w:color w:val="000000"/>
          <w:sz w:val="22"/>
          <w:szCs w:val="22"/>
        </w:rPr>
        <w:t xml:space="preserve">The </w:t>
      </w:r>
      <w:r w:rsidR="00890183" w:rsidRPr="003F592E">
        <w:rPr>
          <w:rFonts w:asciiTheme="majorHAnsi" w:hAnsiTheme="majorHAnsi" w:cstheme="majorHAnsi"/>
          <w:color w:val="000000"/>
          <w:sz w:val="22"/>
          <w:szCs w:val="22"/>
        </w:rPr>
        <w:t xml:space="preserve">PhD program within </w:t>
      </w:r>
      <w:r w:rsidR="00A22215" w:rsidRPr="003F592E">
        <w:rPr>
          <w:rFonts w:asciiTheme="majorHAnsi" w:hAnsiTheme="majorHAnsi" w:cstheme="majorHAnsi"/>
          <w:color w:val="000000"/>
          <w:sz w:val="22"/>
          <w:szCs w:val="22"/>
        </w:rPr>
        <w:t>TSGP</w:t>
      </w:r>
      <w:r w:rsidRPr="003F592E">
        <w:rPr>
          <w:rFonts w:asciiTheme="majorHAnsi" w:hAnsiTheme="majorHAnsi" w:cstheme="majorHAnsi"/>
          <w:color w:val="000000"/>
          <w:sz w:val="22"/>
          <w:szCs w:val="22"/>
        </w:rPr>
        <w:t xml:space="preserve"> is </w:t>
      </w:r>
      <w:r w:rsidR="00683093" w:rsidRPr="003F592E">
        <w:rPr>
          <w:rFonts w:asciiTheme="majorHAnsi" w:hAnsiTheme="majorHAnsi" w:cstheme="majorHAnsi"/>
          <w:color w:val="000000"/>
          <w:sz w:val="22"/>
          <w:szCs w:val="22"/>
        </w:rPr>
        <w:t xml:space="preserve">a small, intimate program in which there are typically </w:t>
      </w:r>
      <w:r w:rsidR="00890183" w:rsidRPr="003F592E">
        <w:rPr>
          <w:rFonts w:asciiTheme="majorHAnsi" w:hAnsiTheme="majorHAnsi" w:cstheme="majorHAnsi"/>
          <w:color w:val="000000"/>
          <w:sz w:val="22"/>
          <w:szCs w:val="22"/>
        </w:rPr>
        <w:t>30-40</w:t>
      </w:r>
      <w:r w:rsidR="00683093" w:rsidRPr="003F592E">
        <w:rPr>
          <w:rFonts w:asciiTheme="majorHAnsi" w:hAnsiTheme="majorHAnsi" w:cstheme="majorHAnsi"/>
          <w:color w:val="000000"/>
          <w:sz w:val="22"/>
          <w:szCs w:val="22"/>
        </w:rPr>
        <w:t xml:space="preserve"> total students, with </w:t>
      </w:r>
      <w:r w:rsidR="00890183" w:rsidRPr="003F592E">
        <w:rPr>
          <w:rFonts w:asciiTheme="majorHAnsi" w:hAnsiTheme="majorHAnsi" w:cstheme="majorHAnsi"/>
          <w:color w:val="000000"/>
          <w:sz w:val="22"/>
          <w:szCs w:val="22"/>
        </w:rPr>
        <w:t>about 5 or 6</w:t>
      </w:r>
      <w:r w:rsidR="00683093" w:rsidRPr="003F592E">
        <w:rPr>
          <w:rFonts w:asciiTheme="majorHAnsi" w:hAnsiTheme="majorHAnsi" w:cstheme="majorHAnsi"/>
          <w:color w:val="000000"/>
          <w:sz w:val="22"/>
          <w:szCs w:val="22"/>
        </w:rPr>
        <w:t xml:space="preserve"> students admitted annually.  </w:t>
      </w:r>
      <w:r w:rsidR="00D75260" w:rsidRPr="003F592E">
        <w:rPr>
          <w:rFonts w:asciiTheme="majorHAnsi" w:hAnsiTheme="majorHAnsi" w:cstheme="majorHAnsi"/>
          <w:color w:val="000000"/>
          <w:sz w:val="22"/>
          <w:szCs w:val="22"/>
        </w:rPr>
        <w:t xml:space="preserve">As a result, </w:t>
      </w:r>
      <w:r w:rsidR="000D2EE9" w:rsidRPr="003F592E">
        <w:rPr>
          <w:rFonts w:asciiTheme="majorHAnsi" w:hAnsiTheme="majorHAnsi" w:cstheme="majorHAnsi"/>
          <w:color w:val="000000"/>
          <w:sz w:val="22"/>
          <w:szCs w:val="22"/>
        </w:rPr>
        <w:t xml:space="preserve">the program is flexible and </w:t>
      </w:r>
      <w:r w:rsidR="009772C0" w:rsidRPr="003F592E">
        <w:rPr>
          <w:rFonts w:asciiTheme="majorHAnsi" w:hAnsiTheme="majorHAnsi" w:cstheme="majorHAnsi"/>
          <w:color w:val="000000"/>
          <w:sz w:val="22"/>
          <w:szCs w:val="22"/>
        </w:rPr>
        <w:t>congenial</w:t>
      </w:r>
      <w:r w:rsidR="000D2EE9" w:rsidRPr="003F592E">
        <w:rPr>
          <w:rFonts w:asciiTheme="majorHAnsi" w:hAnsiTheme="majorHAnsi" w:cstheme="majorHAnsi"/>
          <w:color w:val="000000"/>
          <w:sz w:val="22"/>
          <w:szCs w:val="22"/>
        </w:rPr>
        <w:t xml:space="preserve">, and </w:t>
      </w:r>
      <w:r w:rsidR="00D75260" w:rsidRPr="003F592E">
        <w:rPr>
          <w:rFonts w:asciiTheme="majorHAnsi" w:hAnsiTheme="majorHAnsi" w:cstheme="majorHAnsi"/>
          <w:color w:val="000000"/>
          <w:sz w:val="22"/>
          <w:szCs w:val="22"/>
        </w:rPr>
        <w:t xml:space="preserve">students </w:t>
      </w:r>
      <w:r w:rsidR="00755DE6" w:rsidRPr="003F592E">
        <w:rPr>
          <w:rFonts w:asciiTheme="majorHAnsi" w:hAnsiTheme="majorHAnsi" w:cstheme="majorHAnsi"/>
          <w:color w:val="000000"/>
          <w:sz w:val="22"/>
          <w:szCs w:val="22"/>
        </w:rPr>
        <w:t>have extensive direct interactions</w:t>
      </w:r>
      <w:r w:rsidR="00D75260" w:rsidRPr="003F592E">
        <w:rPr>
          <w:rFonts w:asciiTheme="majorHAnsi" w:hAnsiTheme="majorHAnsi" w:cstheme="majorHAnsi"/>
          <w:color w:val="000000"/>
          <w:sz w:val="22"/>
          <w:szCs w:val="22"/>
        </w:rPr>
        <w:t xml:space="preserve"> with the faculty trainers</w:t>
      </w:r>
      <w:r w:rsidR="000D2EE9" w:rsidRPr="003F592E">
        <w:rPr>
          <w:rFonts w:asciiTheme="majorHAnsi" w:hAnsiTheme="majorHAnsi" w:cstheme="majorHAnsi"/>
          <w:color w:val="000000"/>
          <w:sz w:val="22"/>
          <w:szCs w:val="22"/>
        </w:rPr>
        <w:t xml:space="preserve">, as well as with the </w:t>
      </w:r>
      <w:r w:rsidR="009772C0" w:rsidRPr="003F592E">
        <w:rPr>
          <w:rFonts w:asciiTheme="majorHAnsi" w:hAnsiTheme="majorHAnsi" w:cstheme="majorHAnsi"/>
          <w:color w:val="000000"/>
          <w:sz w:val="22"/>
          <w:szCs w:val="22"/>
        </w:rPr>
        <w:t>Program Director</w:t>
      </w:r>
      <w:r w:rsidR="00890183" w:rsidRPr="003F592E">
        <w:rPr>
          <w:rFonts w:asciiTheme="majorHAnsi" w:hAnsiTheme="majorHAnsi" w:cstheme="majorHAnsi"/>
          <w:color w:val="000000"/>
          <w:sz w:val="22"/>
          <w:szCs w:val="22"/>
        </w:rPr>
        <w:t>,</w:t>
      </w:r>
      <w:r w:rsidR="000D2EE9" w:rsidRPr="003F592E">
        <w:rPr>
          <w:rFonts w:asciiTheme="majorHAnsi" w:hAnsiTheme="majorHAnsi" w:cstheme="majorHAnsi"/>
          <w:color w:val="000000"/>
          <w:sz w:val="22"/>
          <w:szCs w:val="22"/>
        </w:rPr>
        <w:t xml:space="preserve"> </w:t>
      </w:r>
      <w:r w:rsidR="00890183" w:rsidRPr="003F592E">
        <w:rPr>
          <w:rFonts w:asciiTheme="majorHAnsi" w:hAnsiTheme="majorHAnsi" w:cstheme="majorHAnsi"/>
          <w:color w:val="000000"/>
          <w:sz w:val="22"/>
          <w:szCs w:val="22"/>
        </w:rPr>
        <w:t xml:space="preserve">Curriculum Director and </w:t>
      </w:r>
      <w:r w:rsidR="009772C0" w:rsidRPr="003F592E">
        <w:rPr>
          <w:rFonts w:asciiTheme="majorHAnsi" w:hAnsiTheme="majorHAnsi" w:cstheme="majorHAnsi"/>
          <w:color w:val="000000"/>
          <w:sz w:val="22"/>
          <w:szCs w:val="22"/>
        </w:rPr>
        <w:t>Program Coordinator</w:t>
      </w:r>
      <w:r w:rsidR="00D75260" w:rsidRPr="003F592E">
        <w:rPr>
          <w:rFonts w:asciiTheme="majorHAnsi" w:hAnsiTheme="majorHAnsi" w:cstheme="majorHAnsi"/>
          <w:color w:val="000000"/>
          <w:sz w:val="22"/>
          <w:szCs w:val="22"/>
        </w:rPr>
        <w:t xml:space="preserve">.  </w:t>
      </w:r>
      <w:r w:rsidR="00683093" w:rsidRPr="003F592E">
        <w:rPr>
          <w:rFonts w:asciiTheme="majorHAnsi" w:hAnsiTheme="majorHAnsi" w:cstheme="majorHAnsi"/>
          <w:color w:val="000000"/>
          <w:sz w:val="22"/>
          <w:szCs w:val="22"/>
        </w:rPr>
        <w:t xml:space="preserve">The program is </w:t>
      </w:r>
      <w:r w:rsidRPr="003F592E">
        <w:rPr>
          <w:rFonts w:asciiTheme="majorHAnsi" w:hAnsiTheme="majorHAnsi" w:cstheme="majorHAnsi"/>
          <w:color w:val="000000"/>
          <w:sz w:val="22"/>
          <w:szCs w:val="22"/>
        </w:rPr>
        <w:t xml:space="preserve">funded </w:t>
      </w:r>
      <w:r w:rsidR="00683093" w:rsidRPr="003F592E">
        <w:rPr>
          <w:rFonts w:asciiTheme="majorHAnsi" w:hAnsiTheme="majorHAnsi" w:cstheme="majorHAnsi"/>
          <w:color w:val="000000"/>
          <w:sz w:val="22"/>
          <w:szCs w:val="22"/>
        </w:rPr>
        <w:t xml:space="preserve">in part </w:t>
      </w:r>
      <w:r w:rsidRPr="003F592E">
        <w:rPr>
          <w:rFonts w:asciiTheme="majorHAnsi" w:hAnsiTheme="majorHAnsi" w:cstheme="majorHAnsi"/>
          <w:color w:val="000000"/>
          <w:sz w:val="22"/>
          <w:szCs w:val="22"/>
        </w:rPr>
        <w:t xml:space="preserve">by an </w:t>
      </w:r>
      <w:r w:rsidRPr="003F592E">
        <w:rPr>
          <w:rFonts w:asciiTheme="majorHAnsi" w:hAnsiTheme="majorHAnsi" w:cstheme="majorHAnsi"/>
          <w:b/>
          <w:bCs/>
          <w:i/>
          <w:iCs/>
          <w:color w:val="000000"/>
          <w:sz w:val="22"/>
          <w:szCs w:val="22"/>
        </w:rPr>
        <w:t>NIH</w:t>
      </w:r>
      <w:r w:rsidR="00065F00" w:rsidRPr="003F592E">
        <w:rPr>
          <w:rFonts w:asciiTheme="majorHAnsi" w:hAnsiTheme="majorHAnsi" w:cstheme="majorHAnsi"/>
          <w:b/>
          <w:bCs/>
          <w:i/>
          <w:iCs/>
          <w:color w:val="000000"/>
          <w:sz w:val="22"/>
          <w:szCs w:val="22"/>
        </w:rPr>
        <w:t>/NIGMS</w:t>
      </w:r>
      <w:r w:rsidRPr="003F592E">
        <w:rPr>
          <w:rFonts w:asciiTheme="majorHAnsi" w:hAnsiTheme="majorHAnsi" w:cstheme="majorHAnsi"/>
          <w:b/>
          <w:bCs/>
          <w:i/>
          <w:iCs/>
          <w:color w:val="000000"/>
          <w:sz w:val="22"/>
          <w:szCs w:val="22"/>
        </w:rPr>
        <w:t xml:space="preserve"> training grant (T32) in pharmacological sciences</w:t>
      </w:r>
      <w:r w:rsidR="00065F00" w:rsidRPr="003F592E">
        <w:rPr>
          <w:rFonts w:asciiTheme="majorHAnsi" w:hAnsiTheme="majorHAnsi" w:cstheme="majorHAnsi"/>
          <w:color w:val="000000"/>
          <w:sz w:val="22"/>
          <w:szCs w:val="22"/>
        </w:rPr>
        <w:t xml:space="preserve"> </w:t>
      </w:r>
      <w:r w:rsidR="00890183" w:rsidRPr="003F592E">
        <w:rPr>
          <w:rFonts w:asciiTheme="majorHAnsi" w:hAnsiTheme="majorHAnsi" w:cstheme="majorHAnsi"/>
          <w:color w:val="000000"/>
          <w:sz w:val="22"/>
          <w:szCs w:val="22"/>
        </w:rPr>
        <w:t>(</w:t>
      </w:r>
      <w:r w:rsidR="00065F00" w:rsidRPr="003F592E">
        <w:rPr>
          <w:rFonts w:asciiTheme="majorHAnsi" w:hAnsiTheme="majorHAnsi" w:cstheme="majorHAnsi"/>
          <w:color w:val="000000"/>
          <w:sz w:val="22"/>
          <w:szCs w:val="22"/>
        </w:rPr>
        <w:t>"</w:t>
      </w:r>
      <w:r w:rsidR="00890183" w:rsidRPr="003F592E">
        <w:rPr>
          <w:rFonts w:asciiTheme="majorHAnsi" w:hAnsiTheme="majorHAnsi" w:cstheme="majorHAnsi"/>
          <w:color w:val="000000"/>
          <w:sz w:val="22"/>
          <w:szCs w:val="22"/>
        </w:rPr>
        <w:t>Interdisciplinary Training in Pharmacological Sciences</w:t>
      </w:r>
      <w:r w:rsidR="00065F00" w:rsidRPr="003F592E">
        <w:rPr>
          <w:rFonts w:asciiTheme="majorHAnsi" w:hAnsiTheme="majorHAnsi" w:cstheme="majorHAnsi"/>
          <w:color w:val="000000"/>
          <w:sz w:val="22"/>
          <w:szCs w:val="22"/>
        </w:rPr>
        <w:t>")</w:t>
      </w:r>
      <w:r w:rsidR="00CF64CA" w:rsidRPr="003F592E">
        <w:rPr>
          <w:rFonts w:asciiTheme="majorHAnsi" w:hAnsiTheme="majorHAnsi" w:cstheme="majorHAnsi"/>
          <w:color w:val="000000"/>
          <w:sz w:val="22"/>
          <w:szCs w:val="22"/>
        </w:rPr>
        <w:t xml:space="preserve">, and </w:t>
      </w:r>
      <w:r w:rsidR="00890183" w:rsidRPr="003F592E">
        <w:rPr>
          <w:rFonts w:asciiTheme="majorHAnsi" w:hAnsiTheme="majorHAnsi" w:cstheme="majorHAnsi"/>
          <w:color w:val="000000"/>
          <w:sz w:val="22"/>
          <w:szCs w:val="22"/>
        </w:rPr>
        <w:t>the</w:t>
      </w:r>
      <w:r w:rsidR="00CF64CA" w:rsidRPr="003F592E">
        <w:rPr>
          <w:rFonts w:asciiTheme="majorHAnsi" w:hAnsiTheme="majorHAnsi" w:cstheme="majorHAnsi"/>
          <w:color w:val="000000"/>
          <w:sz w:val="22"/>
          <w:szCs w:val="22"/>
        </w:rPr>
        <w:t xml:space="preserve"> Principal Investi</w:t>
      </w:r>
      <w:r w:rsidR="00065F00" w:rsidRPr="003F592E">
        <w:rPr>
          <w:rFonts w:asciiTheme="majorHAnsi" w:hAnsiTheme="majorHAnsi" w:cstheme="majorHAnsi"/>
          <w:color w:val="000000"/>
          <w:sz w:val="22"/>
          <w:szCs w:val="22"/>
        </w:rPr>
        <w:t>gator</w:t>
      </w:r>
      <w:r w:rsidR="00890183" w:rsidRPr="003F592E">
        <w:rPr>
          <w:rFonts w:asciiTheme="majorHAnsi" w:hAnsiTheme="majorHAnsi" w:cstheme="majorHAnsi"/>
          <w:color w:val="000000"/>
          <w:sz w:val="22"/>
          <w:szCs w:val="22"/>
        </w:rPr>
        <w:t>s</w:t>
      </w:r>
      <w:r w:rsidR="00525293" w:rsidRPr="003F592E">
        <w:rPr>
          <w:rFonts w:asciiTheme="majorHAnsi" w:hAnsiTheme="majorHAnsi" w:cstheme="majorHAnsi"/>
          <w:color w:val="000000"/>
          <w:sz w:val="22"/>
          <w:szCs w:val="22"/>
        </w:rPr>
        <w:t xml:space="preserve"> of that grant</w:t>
      </w:r>
      <w:r w:rsidR="00CF64CA" w:rsidRPr="003F592E">
        <w:rPr>
          <w:rFonts w:asciiTheme="majorHAnsi" w:hAnsiTheme="majorHAnsi" w:cstheme="majorHAnsi"/>
          <w:color w:val="000000"/>
          <w:sz w:val="22"/>
          <w:szCs w:val="22"/>
        </w:rPr>
        <w:t xml:space="preserve"> also</w:t>
      </w:r>
      <w:r w:rsidR="00890183" w:rsidRPr="003F592E">
        <w:rPr>
          <w:rFonts w:asciiTheme="majorHAnsi" w:hAnsiTheme="majorHAnsi" w:cstheme="majorHAnsi"/>
          <w:color w:val="000000"/>
          <w:sz w:val="22"/>
          <w:szCs w:val="22"/>
        </w:rPr>
        <w:t xml:space="preserve"> are</w:t>
      </w:r>
      <w:r w:rsidR="00CF64CA" w:rsidRPr="003F592E">
        <w:rPr>
          <w:rFonts w:asciiTheme="majorHAnsi" w:hAnsiTheme="majorHAnsi" w:cstheme="majorHAnsi"/>
          <w:color w:val="000000"/>
          <w:sz w:val="22"/>
          <w:szCs w:val="22"/>
        </w:rPr>
        <w:t xml:space="preserve"> intimately involved in the program</w:t>
      </w:r>
      <w:r w:rsidRPr="003F592E">
        <w:rPr>
          <w:rFonts w:asciiTheme="majorHAnsi" w:hAnsiTheme="majorHAnsi" w:cstheme="majorHAnsi"/>
          <w:color w:val="000000"/>
          <w:sz w:val="22"/>
          <w:szCs w:val="22"/>
        </w:rPr>
        <w:t>.</w:t>
      </w:r>
      <w:r w:rsidR="00683093" w:rsidRPr="003F592E">
        <w:rPr>
          <w:rFonts w:asciiTheme="majorHAnsi" w:hAnsiTheme="majorHAnsi" w:cstheme="majorHAnsi"/>
          <w:color w:val="000000"/>
          <w:sz w:val="22"/>
          <w:szCs w:val="22"/>
        </w:rPr>
        <w:t xml:space="preserve"> </w:t>
      </w:r>
      <w:r w:rsidR="003F592E" w:rsidRPr="003F592E">
        <w:rPr>
          <w:rFonts w:asciiTheme="majorHAnsi" w:hAnsiTheme="majorHAnsi" w:cstheme="majorHAnsi"/>
          <w:color w:val="000000"/>
          <w:sz w:val="22"/>
          <w:szCs w:val="22"/>
        </w:rPr>
        <w:t>TSGP</w:t>
      </w:r>
      <w:r w:rsidR="0064418E" w:rsidRPr="003F592E">
        <w:rPr>
          <w:rFonts w:asciiTheme="majorHAnsi" w:hAnsiTheme="majorHAnsi" w:cstheme="majorHAnsi"/>
          <w:color w:val="000000"/>
          <w:sz w:val="22"/>
          <w:szCs w:val="22"/>
        </w:rPr>
        <w:t xml:space="preserve"> is a very interdisciplinary and collaborative program, drawing trainers from many departments, as well as </w:t>
      </w:r>
      <w:r w:rsidR="0009500B" w:rsidRPr="003F592E">
        <w:rPr>
          <w:rFonts w:asciiTheme="majorHAnsi" w:hAnsiTheme="majorHAnsi" w:cstheme="majorHAnsi"/>
          <w:color w:val="000000"/>
          <w:sz w:val="22"/>
          <w:szCs w:val="22"/>
        </w:rPr>
        <w:t xml:space="preserve">from several </w:t>
      </w:r>
      <w:r w:rsidR="0064418E" w:rsidRPr="003F592E">
        <w:rPr>
          <w:rFonts w:asciiTheme="majorHAnsi" w:hAnsiTheme="majorHAnsi" w:cstheme="majorHAnsi"/>
          <w:color w:val="000000"/>
          <w:sz w:val="22"/>
          <w:szCs w:val="22"/>
        </w:rPr>
        <w:t>hospitals.</w:t>
      </w:r>
    </w:p>
    <w:p w14:paraId="210CF3E5" w14:textId="2CD0D577" w:rsidR="008E248A" w:rsidRPr="003F592E" w:rsidRDefault="008E248A" w:rsidP="003F592E">
      <w:pPr>
        <w:jc w:val="both"/>
        <w:rPr>
          <w:rFonts w:asciiTheme="majorHAnsi" w:hAnsiTheme="majorHAnsi" w:cstheme="majorHAnsi"/>
          <w:color w:val="000000"/>
          <w:sz w:val="22"/>
          <w:szCs w:val="22"/>
        </w:rPr>
      </w:pPr>
    </w:p>
    <w:p w14:paraId="32321499" w14:textId="0CC67BB8" w:rsidR="003F592E" w:rsidRPr="003F592E" w:rsidRDefault="003F592E" w:rsidP="0098330A">
      <w:pPr>
        <w:jc w:val="both"/>
        <w:rPr>
          <w:rFonts w:asciiTheme="majorHAnsi" w:hAnsiTheme="majorHAnsi" w:cstheme="majorHAnsi"/>
          <w:color w:val="000000"/>
          <w:sz w:val="22"/>
          <w:szCs w:val="22"/>
        </w:rPr>
      </w:pPr>
      <w:r w:rsidRPr="003F592E">
        <w:rPr>
          <w:rFonts w:asciiTheme="majorHAnsi" w:hAnsiTheme="majorHAnsi" w:cstheme="majorHAnsi"/>
          <w:color w:val="000000"/>
          <w:sz w:val="22"/>
          <w:szCs w:val="22"/>
        </w:rPr>
        <w:t xml:space="preserve">TSGP is jointly housed in the Department of Pathology and Laboratory Medicine (PLM) and the Office of Graduate and Postdoctoral Studies (OGPS) within the Division of Biology and Medicine.  It is administered by the PhD and Masters Program Directors (“directors of graduate studies” or “DGSs”), a standing Steering Committee, a standing Graduate Program Committee, an Admissions Committee, and an </w:t>
      </w:r>
      <w:r w:rsidRPr="003F592E">
        <w:rPr>
          <w:rFonts w:asciiTheme="majorHAnsi" w:hAnsiTheme="majorHAnsi" w:cstheme="majorHAnsi"/>
          <w:i/>
          <w:iCs/>
          <w:color w:val="000000"/>
          <w:sz w:val="22"/>
          <w:szCs w:val="22"/>
        </w:rPr>
        <w:t>ad hoc</w:t>
      </w:r>
      <w:r w:rsidRPr="003F592E">
        <w:rPr>
          <w:rFonts w:asciiTheme="majorHAnsi" w:hAnsiTheme="majorHAnsi" w:cstheme="majorHAnsi"/>
          <w:color w:val="000000"/>
          <w:sz w:val="22"/>
          <w:szCs w:val="22"/>
        </w:rPr>
        <w:t xml:space="preserve"> Thesis Committee for each graduate student. </w:t>
      </w:r>
      <w:r>
        <w:rPr>
          <w:rFonts w:asciiTheme="majorHAnsi" w:hAnsiTheme="majorHAnsi" w:cstheme="majorHAnsi"/>
          <w:color w:val="000000"/>
          <w:sz w:val="22"/>
          <w:szCs w:val="22"/>
        </w:rPr>
        <w:t xml:space="preserve"> </w:t>
      </w:r>
      <w:r w:rsidRPr="003F592E">
        <w:rPr>
          <w:rFonts w:asciiTheme="majorHAnsi" w:hAnsiTheme="majorHAnsi" w:cstheme="majorHAnsi"/>
          <w:color w:val="000000"/>
          <w:sz w:val="22"/>
          <w:szCs w:val="22"/>
        </w:rPr>
        <w:t>A Graduate Program Coordinator handles organizational and administrative issues such as managing events, keeping track of records, expense reimbursement, appointment assignments, website updates, interfacing with the graduate school and registrar, etc.</w:t>
      </w:r>
      <w:r w:rsidR="005D5EFB">
        <w:rPr>
          <w:rFonts w:asciiTheme="majorHAnsi" w:hAnsiTheme="majorHAnsi" w:cstheme="majorHAnsi"/>
          <w:color w:val="000000"/>
          <w:sz w:val="22"/>
          <w:szCs w:val="22"/>
        </w:rPr>
        <w:t xml:space="preserve">  Descriptions of each committee are provided in the TSGP Guidelines.</w:t>
      </w:r>
    </w:p>
    <w:p w14:paraId="3CFF88DB" w14:textId="6BDADC25" w:rsidR="003F592E" w:rsidRPr="003F592E" w:rsidRDefault="003F592E" w:rsidP="003F592E">
      <w:pPr>
        <w:jc w:val="both"/>
        <w:rPr>
          <w:rFonts w:asciiTheme="majorHAnsi" w:hAnsiTheme="majorHAnsi" w:cstheme="majorHAnsi"/>
          <w:color w:val="000000"/>
          <w:sz w:val="22"/>
          <w:szCs w:val="22"/>
        </w:rPr>
      </w:pPr>
    </w:p>
    <w:p w14:paraId="4DE91A1B" w14:textId="619E2A91" w:rsidR="008E248A" w:rsidRPr="00244E57" w:rsidRDefault="005D5EFB" w:rsidP="0098330A">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Faculty who serve as PhD thesis advisors and </w:t>
      </w:r>
      <w:r w:rsidR="00AD67D2">
        <w:rPr>
          <w:rFonts w:asciiTheme="majorHAnsi" w:hAnsiTheme="majorHAnsi" w:cstheme="majorHAnsi"/>
          <w:color w:val="000000"/>
          <w:sz w:val="22"/>
          <w:szCs w:val="22"/>
        </w:rPr>
        <w:t xml:space="preserve">as </w:t>
      </w:r>
      <w:r>
        <w:rPr>
          <w:rFonts w:asciiTheme="majorHAnsi" w:hAnsiTheme="majorHAnsi" w:cstheme="majorHAnsi"/>
          <w:color w:val="000000"/>
          <w:sz w:val="22"/>
          <w:szCs w:val="22"/>
        </w:rPr>
        <w:t>advisors for lab rotations are listed on the TSGP PhD website</w:t>
      </w:r>
      <w:r w:rsidR="0098330A">
        <w:rPr>
          <w:rFonts w:asciiTheme="majorHAnsi" w:hAnsiTheme="majorHAnsi" w:cstheme="majorHAnsi"/>
          <w:color w:val="000000"/>
          <w:sz w:val="22"/>
          <w:szCs w:val="22"/>
        </w:rPr>
        <w:t xml:space="preserve"> (</w:t>
      </w:r>
      <w:r w:rsidR="00D204E6" w:rsidRPr="00D204E6">
        <w:rPr>
          <w:rFonts w:asciiTheme="majorHAnsi" w:hAnsiTheme="majorHAnsi" w:cstheme="majorHAnsi"/>
          <w:color w:val="000000"/>
          <w:sz w:val="22"/>
          <w:szCs w:val="22"/>
        </w:rPr>
        <w:t>https://www.brown.edu/academics/tsgp/people/faculty-trainers</w:t>
      </w:r>
      <w:r w:rsidR="0098330A">
        <w:rPr>
          <w:rFonts w:asciiTheme="majorHAnsi" w:hAnsiTheme="majorHAnsi" w:cstheme="majorHAnsi"/>
          <w:color w:val="000000"/>
          <w:sz w:val="22"/>
          <w:szCs w:val="22"/>
        </w:rPr>
        <w:t>)</w:t>
      </w:r>
      <w:r>
        <w:rPr>
          <w:rFonts w:asciiTheme="majorHAnsi" w:hAnsiTheme="majorHAnsi" w:cstheme="majorHAnsi"/>
          <w:color w:val="000000"/>
          <w:sz w:val="22"/>
          <w:szCs w:val="22"/>
        </w:rPr>
        <w:t xml:space="preserve">.  They are based in many departments, both on campus and at the hospitals that are affiliated with Brown's Warren Alpert Medical School.  Thus, our Faculty Trainers are in the departments of:  </w:t>
      </w:r>
      <w:r w:rsidR="00AD67D2" w:rsidRPr="00AD67D2">
        <w:rPr>
          <w:rFonts w:asciiTheme="majorHAnsi" w:hAnsiTheme="majorHAnsi" w:cstheme="majorHAnsi"/>
          <w:color w:val="000000"/>
          <w:sz w:val="22"/>
          <w:szCs w:val="22"/>
        </w:rPr>
        <w:t xml:space="preserve">Chemistry; Engineering; Medicine; Molecular Biology, Cell Biology &amp; Biochemistry; Molecular Microbiology &amp; Immunology; Neuroscience; Neurosurgery; Pathology &amp; Laboratory Medicine; Pediatrics; </w:t>
      </w:r>
      <w:r w:rsidR="00AD67D2">
        <w:rPr>
          <w:rFonts w:asciiTheme="majorHAnsi" w:hAnsiTheme="majorHAnsi" w:cstheme="majorHAnsi"/>
          <w:color w:val="000000"/>
          <w:sz w:val="22"/>
          <w:szCs w:val="22"/>
        </w:rPr>
        <w:t xml:space="preserve">and </w:t>
      </w:r>
      <w:r w:rsidR="00AD67D2" w:rsidRPr="00AD67D2">
        <w:rPr>
          <w:rFonts w:asciiTheme="majorHAnsi" w:hAnsiTheme="majorHAnsi" w:cstheme="majorHAnsi"/>
          <w:color w:val="000000"/>
          <w:sz w:val="22"/>
          <w:szCs w:val="22"/>
        </w:rPr>
        <w:t>Surgery</w:t>
      </w:r>
      <w:r w:rsidR="00AD67D2">
        <w:rPr>
          <w:rFonts w:asciiTheme="majorHAnsi" w:hAnsiTheme="majorHAnsi" w:cstheme="majorHAnsi"/>
          <w:color w:val="000000"/>
          <w:sz w:val="22"/>
          <w:szCs w:val="22"/>
        </w:rPr>
        <w:t>.</w:t>
      </w:r>
    </w:p>
    <w:p w14:paraId="1E47F9E9" w14:textId="77777777" w:rsidR="00EC0CEF" w:rsidRPr="00887685" w:rsidRDefault="00EC0CEF" w:rsidP="008E248A">
      <w:pPr>
        <w:jc w:val="both"/>
        <w:rPr>
          <w:rFonts w:asciiTheme="majorHAnsi" w:hAnsiTheme="majorHAnsi" w:cstheme="majorHAnsi"/>
          <w:color w:val="000000"/>
          <w:sz w:val="22"/>
          <w:szCs w:val="22"/>
        </w:rPr>
      </w:pPr>
    </w:p>
    <w:p w14:paraId="2042A32A" w14:textId="07893F21" w:rsidR="008E248A" w:rsidRPr="00887685" w:rsidRDefault="008E248A" w:rsidP="008E248A">
      <w:pPr>
        <w:ind w:right="7056"/>
        <w:jc w:val="both"/>
        <w:rPr>
          <w:rFonts w:asciiTheme="majorHAnsi" w:hAnsiTheme="majorHAnsi" w:cstheme="majorHAnsi"/>
          <w:color w:val="000000"/>
          <w:sz w:val="22"/>
          <w:szCs w:val="22"/>
        </w:rPr>
      </w:pPr>
      <w:r w:rsidRPr="00887685">
        <w:rPr>
          <w:rFonts w:asciiTheme="majorHAnsi" w:hAnsiTheme="majorHAnsi" w:cstheme="majorHAnsi"/>
          <w:b/>
          <w:color w:val="000000"/>
          <w:sz w:val="22"/>
          <w:szCs w:val="22"/>
        </w:rPr>
        <w:t>II. Admission</w:t>
      </w:r>
      <w:r w:rsidR="003F592E" w:rsidRPr="00887685">
        <w:rPr>
          <w:rFonts w:asciiTheme="majorHAnsi" w:hAnsiTheme="majorHAnsi" w:cstheme="majorHAnsi"/>
          <w:b/>
          <w:color w:val="000000"/>
          <w:sz w:val="22"/>
          <w:szCs w:val="22"/>
        </w:rPr>
        <w:t>s Process</w:t>
      </w:r>
    </w:p>
    <w:p w14:paraId="377A3E93" w14:textId="77777777" w:rsidR="008E248A" w:rsidRPr="00887685" w:rsidRDefault="008E248A" w:rsidP="008E248A">
      <w:pPr>
        <w:ind w:right="7056"/>
        <w:jc w:val="both"/>
        <w:rPr>
          <w:rFonts w:asciiTheme="majorHAnsi" w:hAnsiTheme="majorHAnsi" w:cstheme="majorHAnsi"/>
          <w:color w:val="000000"/>
          <w:sz w:val="22"/>
          <w:szCs w:val="22"/>
        </w:rPr>
      </w:pPr>
    </w:p>
    <w:p w14:paraId="529A1719" w14:textId="0C0ACF7F" w:rsidR="00A12A7A" w:rsidRPr="00887685" w:rsidRDefault="008E248A" w:rsidP="00A267C6">
      <w:pPr>
        <w:jc w:val="both"/>
        <w:rPr>
          <w:rFonts w:asciiTheme="majorHAnsi" w:hAnsiTheme="majorHAnsi" w:cstheme="majorHAnsi"/>
          <w:color w:val="000000"/>
          <w:sz w:val="22"/>
          <w:szCs w:val="22"/>
        </w:rPr>
      </w:pPr>
      <w:r w:rsidRPr="00887685">
        <w:rPr>
          <w:rFonts w:asciiTheme="majorHAnsi" w:hAnsiTheme="majorHAnsi" w:cstheme="majorHAnsi"/>
          <w:color w:val="000000"/>
          <w:sz w:val="22"/>
          <w:szCs w:val="22"/>
        </w:rPr>
        <w:t xml:space="preserve">Entering students are expected to have strong undergraduate qualifications in mathematics, physics, and chemistry as well as in biological sciences. </w:t>
      </w:r>
      <w:r w:rsidR="006B5394" w:rsidRPr="00887685">
        <w:rPr>
          <w:rFonts w:asciiTheme="majorHAnsi" w:hAnsiTheme="majorHAnsi" w:cstheme="majorHAnsi"/>
          <w:color w:val="000000"/>
          <w:sz w:val="22"/>
          <w:szCs w:val="22"/>
        </w:rPr>
        <w:t xml:space="preserve"> </w:t>
      </w:r>
      <w:r w:rsidRPr="00887685">
        <w:rPr>
          <w:rFonts w:asciiTheme="majorHAnsi" w:hAnsiTheme="majorHAnsi" w:cstheme="majorHAnsi"/>
          <w:color w:val="000000"/>
          <w:sz w:val="22"/>
          <w:szCs w:val="22"/>
        </w:rPr>
        <w:t xml:space="preserve">The </w:t>
      </w:r>
      <w:r w:rsidR="00DC7A38" w:rsidRPr="00887685">
        <w:rPr>
          <w:rFonts w:asciiTheme="majorHAnsi" w:hAnsiTheme="majorHAnsi" w:cstheme="majorHAnsi"/>
          <w:color w:val="000000"/>
          <w:sz w:val="22"/>
          <w:szCs w:val="22"/>
        </w:rPr>
        <w:t>Admissions</w:t>
      </w:r>
      <w:r w:rsidRPr="00887685">
        <w:rPr>
          <w:rFonts w:asciiTheme="majorHAnsi" w:hAnsiTheme="majorHAnsi" w:cstheme="majorHAnsi"/>
          <w:color w:val="000000"/>
          <w:sz w:val="22"/>
          <w:szCs w:val="22"/>
        </w:rPr>
        <w:t xml:space="preserve"> Committee </w:t>
      </w:r>
      <w:r w:rsidR="005E4B58" w:rsidRPr="00887685">
        <w:rPr>
          <w:rFonts w:asciiTheme="majorHAnsi" w:hAnsiTheme="majorHAnsi" w:cstheme="majorHAnsi"/>
          <w:color w:val="000000"/>
          <w:sz w:val="22"/>
          <w:szCs w:val="22"/>
        </w:rPr>
        <w:t>select</w:t>
      </w:r>
      <w:r w:rsidR="006B5394" w:rsidRPr="00887685">
        <w:rPr>
          <w:rFonts w:asciiTheme="majorHAnsi" w:hAnsiTheme="majorHAnsi" w:cstheme="majorHAnsi"/>
          <w:color w:val="000000"/>
          <w:sz w:val="22"/>
          <w:szCs w:val="22"/>
        </w:rPr>
        <w:t>s</w:t>
      </w:r>
      <w:r w:rsidR="005E4B58" w:rsidRPr="00887685">
        <w:rPr>
          <w:rFonts w:asciiTheme="majorHAnsi" w:hAnsiTheme="majorHAnsi" w:cstheme="majorHAnsi"/>
          <w:color w:val="000000"/>
          <w:sz w:val="22"/>
          <w:szCs w:val="22"/>
        </w:rPr>
        <w:t xml:space="preserve"> applicants for interviews </w:t>
      </w:r>
      <w:r w:rsidR="000B7AAC" w:rsidRPr="00887685">
        <w:rPr>
          <w:rFonts w:asciiTheme="majorHAnsi" w:hAnsiTheme="majorHAnsi" w:cstheme="majorHAnsi"/>
          <w:color w:val="000000"/>
          <w:sz w:val="22"/>
          <w:szCs w:val="22"/>
        </w:rPr>
        <w:t xml:space="preserve">with input from the </w:t>
      </w:r>
      <w:r w:rsidR="00DC7A38" w:rsidRPr="00887685">
        <w:rPr>
          <w:rFonts w:asciiTheme="majorHAnsi" w:hAnsiTheme="majorHAnsi" w:cstheme="majorHAnsi"/>
          <w:color w:val="000000"/>
          <w:sz w:val="22"/>
          <w:szCs w:val="22"/>
        </w:rPr>
        <w:t>Faculty</w:t>
      </w:r>
      <w:r w:rsidR="00762E17" w:rsidRPr="00887685">
        <w:rPr>
          <w:rFonts w:asciiTheme="majorHAnsi" w:hAnsiTheme="majorHAnsi" w:cstheme="majorHAnsi"/>
          <w:color w:val="000000"/>
          <w:sz w:val="22"/>
          <w:szCs w:val="22"/>
        </w:rPr>
        <w:t xml:space="preserve"> </w:t>
      </w:r>
      <w:r w:rsidR="00DC7A38" w:rsidRPr="00887685">
        <w:rPr>
          <w:rFonts w:asciiTheme="majorHAnsi" w:hAnsiTheme="majorHAnsi" w:cstheme="majorHAnsi"/>
          <w:color w:val="000000"/>
          <w:sz w:val="22"/>
          <w:szCs w:val="22"/>
        </w:rPr>
        <w:t>T</w:t>
      </w:r>
      <w:r w:rsidR="00762E17" w:rsidRPr="00887685">
        <w:rPr>
          <w:rFonts w:asciiTheme="majorHAnsi" w:hAnsiTheme="majorHAnsi" w:cstheme="majorHAnsi"/>
          <w:color w:val="000000"/>
          <w:sz w:val="22"/>
          <w:szCs w:val="22"/>
        </w:rPr>
        <w:t>rainers</w:t>
      </w:r>
      <w:r w:rsidR="000B7AAC" w:rsidRPr="00887685">
        <w:rPr>
          <w:rFonts w:asciiTheme="majorHAnsi" w:hAnsiTheme="majorHAnsi" w:cstheme="majorHAnsi"/>
          <w:color w:val="000000"/>
          <w:sz w:val="22"/>
          <w:szCs w:val="22"/>
        </w:rPr>
        <w:t xml:space="preserve">, who are given access to all applications.  </w:t>
      </w:r>
      <w:r w:rsidR="006B5394" w:rsidRPr="00887685">
        <w:rPr>
          <w:rFonts w:asciiTheme="majorHAnsi" w:hAnsiTheme="majorHAnsi" w:cstheme="majorHAnsi"/>
          <w:color w:val="000000"/>
          <w:sz w:val="22"/>
          <w:szCs w:val="22"/>
        </w:rPr>
        <w:t xml:space="preserve">Admissions decisions are based on </w:t>
      </w:r>
      <w:r w:rsidR="00FB266A" w:rsidRPr="00887685">
        <w:rPr>
          <w:rFonts w:asciiTheme="majorHAnsi" w:hAnsiTheme="majorHAnsi" w:cstheme="majorHAnsi"/>
          <w:color w:val="000000"/>
          <w:sz w:val="22"/>
          <w:szCs w:val="22"/>
        </w:rPr>
        <w:t>each</w:t>
      </w:r>
      <w:r w:rsidR="006B5394" w:rsidRPr="00887685">
        <w:rPr>
          <w:rFonts w:asciiTheme="majorHAnsi" w:hAnsiTheme="majorHAnsi" w:cstheme="majorHAnsi"/>
          <w:color w:val="000000"/>
          <w:sz w:val="22"/>
          <w:szCs w:val="22"/>
        </w:rPr>
        <w:t xml:space="preserve"> applicant</w:t>
      </w:r>
      <w:r w:rsidR="00FB266A" w:rsidRPr="00887685">
        <w:rPr>
          <w:rFonts w:asciiTheme="majorHAnsi" w:hAnsiTheme="majorHAnsi" w:cstheme="majorHAnsi"/>
          <w:color w:val="000000"/>
          <w:sz w:val="22"/>
          <w:szCs w:val="22"/>
        </w:rPr>
        <w:t>'s</w:t>
      </w:r>
      <w:r w:rsidR="006B5394" w:rsidRPr="00887685">
        <w:rPr>
          <w:rFonts w:asciiTheme="majorHAnsi" w:hAnsiTheme="majorHAnsi" w:cstheme="majorHAnsi"/>
          <w:color w:val="000000"/>
          <w:sz w:val="22"/>
          <w:szCs w:val="22"/>
        </w:rPr>
        <w:t xml:space="preserve"> </w:t>
      </w:r>
      <w:r w:rsidR="00FB266A" w:rsidRPr="00887685">
        <w:rPr>
          <w:rFonts w:asciiTheme="majorHAnsi" w:hAnsiTheme="majorHAnsi" w:cstheme="majorHAnsi"/>
          <w:color w:val="000000"/>
          <w:sz w:val="22"/>
          <w:szCs w:val="22"/>
        </w:rPr>
        <w:t xml:space="preserve">research experience, letters of recommendation, personal statement, academic performance </w:t>
      </w:r>
      <w:r w:rsidR="00FB266A" w:rsidRPr="00887685">
        <w:rPr>
          <w:rFonts w:asciiTheme="majorHAnsi" w:hAnsiTheme="majorHAnsi" w:cstheme="majorHAnsi"/>
          <w:color w:val="000000"/>
          <w:sz w:val="22"/>
          <w:szCs w:val="22"/>
        </w:rPr>
        <w:lastRenderedPageBreak/>
        <w:t xml:space="preserve">and interviews. </w:t>
      </w:r>
      <w:r w:rsidR="009F3D19" w:rsidRPr="00887685">
        <w:rPr>
          <w:rFonts w:asciiTheme="majorHAnsi" w:hAnsiTheme="majorHAnsi" w:cstheme="majorHAnsi"/>
          <w:color w:val="000000"/>
          <w:sz w:val="22"/>
          <w:szCs w:val="22"/>
        </w:rPr>
        <w:t xml:space="preserve"> </w:t>
      </w:r>
      <w:r w:rsidR="00FB266A" w:rsidRPr="00887685">
        <w:rPr>
          <w:rFonts w:asciiTheme="majorHAnsi" w:hAnsiTheme="majorHAnsi" w:cstheme="majorHAnsi"/>
          <w:color w:val="000000"/>
          <w:sz w:val="22"/>
          <w:szCs w:val="22"/>
        </w:rPr>
        <w:t xml:space="preserve">GRE scores are </w:t>
      </w:r>
      <w:r w:rsidR="00FB5149" w:rsidRPr="00887685">
        <w:rPr>
          <w:rFonts w:asciiTheme="majorHAnsi" w:hAnsiTheme="majorHAnsi" w:cstheme="majorHAnsi"/>
          <w:color w:val="000000"/>
          <w:sz w:val="22"/>
          <w:szCs w:val="22"/>
        </w:rPr>
        <w:t xml:space="preserve">not </w:t>
      </w:r>
      <w:r w:rsidR="009F3D19" w:rsidRPr="00887685">
        <w:rPr>
          <w:rFonts w:asciiTheme="majorHAnsi" w:hAnsiTheme="majorHAnsi" w:cstheme="majorHAnsi"/>
          <w:color w:val="000000"/>
          <w:sz w:val="22"/>
          <w:szCs w:val="22"/>
        </w:rPr>
        <w:t>required</w:t>
      </w:r>
      <w:r w:rsidR="00724D65" w:rsidRPr="00887685">
        <w:rPr>
          <w:rFonts w:asciiTheme="majorHAnsi" w:hAnsiTheme="majorHAnsi" w:cstheme="majorHAnsi"/>
          <w:color w:val="000000"/>
          <w:sz w:val="22"/>
          <w:szCs w:val="22"/>
        </w:rPr>
        <w:t xml:space="preserve"> or considered</w:t>
      </w:r>
      <w:r w:rsidR="00FB5149" w:rsidRPr="00887685">
        <w:rPr>
          <w:rFonts w:asciiTheme="majorHAnsi" w:hAnsiTheme="majorHAnsi" w:cstheme="majorHAnsi"/>
          <w:color w:val="000000"/>
          <w:sz w:val="22"/>
          <w:szCs w:val="22"/>
        </w:rPr>
        <w:t>, since</w:t>
      </w:r>
      <w:r w:rsidR="00FB266A" w:rsidRPr="00887685">
        <w:rPr>
          <w:rFonts w:asciiTheme="majorHAnsi" w:hAnsiTheme="majorHAnsi" w:cstheme="majorHAnsi"/>
          <w:color w:val="000000"/>
          <w:sz w:val="22"/>
          <w:szCs w:val="22"/>
        </w:rPr>
        <w:t xml:space="preserve"> they have been shown to be </w:t>
      </w:r>
      <w:r w:rsidR="00FB5149" w:rsidRPr="00887685">
        <w:rPr>
          <w:rFonts w:asciiTheme="majorHAnsi" w:hAnsiTheme="majorHAnsi" w:cstheme="majorHAnsi"/>
          <w:color w:val="000000"/>
          <w:sz w:val="22"/>
          <w:szCs w:val="22"/>
        </w:rPr>
        <w:t xml:space="preserve">inadequate </w:t>
      </w:r>
      <w:r w:rsidR="00FB266A" w:rsidRPr="00887685">
        <w:rPr>
          <w:rFonts w:asciiTheme="majorHAnsi" w:hAnsiTheme="majorHAnsi" w:cstheme="majorHAnsi"/>
          <w:color w:val="000000"/>
          <w:sz w:val="22"/>
          <w:szCs w:val="22"/>
        </w:rPr>
        <w:t xml:space="preserve">predictors of success in graduate school and in scientific careers.  </w:t>
      </w:r>
      <w:r w:rsidR="00971E45" w:rsidRPr="00887685">
        <w:rPr>
          <w:rFonts w:asciiTheme="majorHAnsi" w:hAnsiTheme="majorHAnsi" w:cstheme="majorHAnsi"/>
          <w:color w:val="000000"/>
          <w:sz w:val="22"/>
          <w:szCs w:val="22"/>
        </w:rPr>
        <w:t>E</w:t>
      </w:r>
      <w:r w:rsidR="002A1889" w:rsidRPr="00887685">
        <w:rPr>
          <w:rFonts w:asciiTheme="majorHAnsi" w:hAnsiTheme="majorHAnsi" w:cstheme="majorHAnsi"/>
          <w:color w:val="000000"/>
          <w:sz w:val="22"/>
          <w:szCs w:val="22"/>
        </w:rPr>
        <w:t xml:space="preserve">ach applicant </w:t>
      </w:r>
      <w:r w:rsidR="00971E45" w:rsidRPr="00887685">
        <w:rPr>
          <w:rFonts w:asciiTheme="majorHAnsi" w:hAnsiTheme="majorHAnsi" w:cstheme="majorHAnsi"/>
          <w:color w:val="000000"/>
          <w:sz w:val="22"/>
          <w:szCs w:val="22"/>
        </w:rPr>
        <w:t>selected for interview receive</w:t>
      </w:r>
      <w:r w:rsidR="00D906D9" w:rsidRPr="00887685">
        <w:rPr>
          <w:rFonts w:asciiTheme="majorHAnsi" w:hAnsiTheme="majorHAnsi" w:cstheme="majorHAnsi"/>
          <w:color w:val="000000"/>
          <w:sz w:val="22"/>
          <w:szCs w:val="22"/>
        </w:rPr>
        <w:t>s</w:t>
      </w:r>
      <w:r w:rsidR="00971E45" w:rsidRPr="00887685">
        <w:rPr>
          <w:rFonts w:asciiTheme="majorHAnsi" w:hAnsiTheme="majorHAnsi" w:cstheme="majorHAnsi"/>
          <w:color w:val="000000"/>
          <w:sz w:val="22"/>
          <w:szCs w:val="22"/>
        </w:rPr>
        <w:t xml:space="preserve"> a phone call and follow-up email from the Program Director inviting </w:t>
      </w:r>
      <w:r w:rsidR="00FB5149" w:rsidRPr="00887685">
        <w:rPr>
          <w:rFonts w:asciiTheme="majorHAnsi" w:hAnsiTheme="majorHAnsi" w:cstheme="majorHAnsi"/>
          <w:color w:val="000000"/>
          <w:sz w:val="22"/>
          <w:szCs w:val="22"/>
        </w:rPr>
        <w:t>them</w:t>
      </w:r>
      <w:r w:rsidR="00971E45" w:rsidRPr="00887685">
        <w:rPr>
          <w:rFonts w:asciiTheme="majorHAnsi" w:hAnsiTheme="majorHAnsi" w:cstheme="majorHAnsi"/>
          <w:color w:val="000000"/>
          <w:sz w:val="22"/>
          <w:szCs w:val="22"/>
        </w:rPr>
        <w:t xml:space="preserve"> to the </w:t>
      </w:r>
      <w:r w:rsidR="00DC7A38" w:rsidRPr="00887685">
        <w:rPr>
          <w:rFonts w:asciiTheme="majorHAnsi" w:hAnsiTheme="majorHAnsi" w:cstheme="majorHAnsi"/>
          <w:color w:val="000000"/>
          <w:sz w:val="22"/>
          <w:szCs w:val="22"/>
        </w:rPr>
        <w:t>TSGP</w:t>
      </w:r>
      <w:r w:rsidR="00790425" w:rsidRPr="00887685">
        <w:rPr>
          <w:rFonts w:asciiTheme="majorHAnsi" w:hAnsiTheme="majorHAnsi" w:cstheme="majorHAnsi"/>
          <w:color w:val="000000"/>
          <w:sz w:val="22"/>
          <w:szCs w:val="22"/>
        </w:rPr>
        <w:t xml:space="preserve"> </w:t>
      </w:r>
      <w:r w:rsidR="00971E45" w:rsidRPr="00887685">
        <w:rPr>
          <w:rFonts w:asciiTheme="majorHAnsi" w:hAnsiTheme="majorHAnsi" w:cstheme="majorHAnsi"/>
          <w:color w:val="000000"/>
          <w:sz w:val="22"/>
          <w:szCs w:val="22"/>
        </w:rPr>
        <w:t>recruitment event</w:t>
      </w:r>
      <w:r w:rsidR="00790425" w:rsidRPr="00887685">
        <w:rPr>
          <w:rFonts w:asciiTheme="majorHAnsi" w:hAnsiTheme="majorHAnsi" w:cstheme="majorHAnsi"/>
          <w:color w:val="000000"/>
          <w:sz w:val="22"/>
          <w:szCs w:val="22"/>
        </w:rPr>
        <w:t xml:space="preserve"> at Brown</w:t>
      </w:r>
      <w:r w:rsidR="002A1889" w:rsidRPr="00887685">
        <w:rPr>
          <w:rFonts w:asciiTheme="majorHAnsi" w:hAnsiTheme="majorHAnsi" w:cstheme="majorHAnsi"/>
          <w:color w:val="000000"/>
          <w:sz w:val="22"/>
          <w:szCs w:val="22"/>
        </w:rPr>
        <w:t xml:space="preserve">.  </w:t>
      </w:r>
      <w:r w:rsidR="00E20851" w:rsidRPr="00887685">
        <w:rPr>
          <w:rFonts w:asciiTheme="majorHAnsi" w:hAnsiTheme="majorHAnsi" w:cstheme="majorHAnsi"/>
          <w:color w:val="000000"/>
          <w:sz w:val="22"/>
          <w:szCs w:val="22"/>
        </w:rPr>
        <w:t>During the recruitment event</w:t>
      </w:r>
      <w:r w:rsidR="005E4B58" w:rsidRPr="00887685">
        <w:rPr>
          <w:rFonts w:asciiTheme="majorHAnsi" w:hAnsiTheme="majorHAnsi" w:cstheme="majorHAnsi"/>
          <w:color w:val="000000"/>
          <w:sz w:val="22"/>
          <w:szCs w:val="22"/>
        </w:rPr>
        <w:t>, each invited applicant meet</w:t>
      </w:r>
      <w:r w:rsidR="00D906D9" w:rsidRPr="00887685">
        <w:rPr>
          <w:rFonts w:asciiTheme="majorHAnsi" w:hAnsiTheme="majorHAnsi" w:cstheme="majorHAnsi"/>
          <w:color w:val="000000"/>
          <w:sz w:val="22"/>
          <w:szCs w:val="22"/>
        </w:rPr>
        <w:t>s</w:t>
      </w:r>
      <w:r w:rsidR="005E4B58" w:rsidRPr="00887685">
        <w:rPr>
          <w:rFonts w:asciiTheme="majorHAnsi" w:hAnsiTheme="majorHAnsi" w:cstheme="majorHAnsi"/>
          <w:color w:val="000000"/>
          <w:sz w:val="22"/>
          <w:szCs w:val="22"/>
        </w:rPr>
        <w:t xml:space="preserve"> with member</w:t>
      </w:r>
      <w:r w:rsidR="00D05217" w:rsidRPr="00887685">
        <w:rPr>
          <w:rFonts w:asciiTheme="majorHAnsi" w:hAnsiTheme="majorHAnsi" w:cstheme="majorHAnsi"/>
          <w:color w:val="000000"/>
          <w:sz w:val="22"/>
          <w:szCs w:val="22"/>
        </w:rPr>
        <w:t>s</w:t>
      </w:r>
      <w:r w:rsidR="005E4B58" w:rsidRPr="00887685">
        <w:rPr>
          <w:rFonts w:asciiTheme="majorHAnsi" w:hAnsiTheme="majorHAnsi" w:cstheme="majorHAnsi"/>
          <w:color w:val="000000"/>
          <w:sz w:val="22"/>
          <w:szCs w:val="22"/>
        </w:rPr>
        <w:t xml:space="preserve"> of the </w:t>
      </w:r>
      <w:r w:rsidR="00D05217" w:rsidRPr="00887685">
        <w:rPr>
          <w:rFonts w:asciiTheme="majorHAnsi" w:hAnsiTheme="majorHAnsi" w:cstheme="majorHAnsi"/>
          <w:color w:val="000000"/>
          <w:sz w:val="22"/>
          <w:szCs w:val="22"/>
        </w:rPr>
        <w:t>Admissions</w:t>
      </w:r>
      <w:r w:rsidR="005E4B58" w:rsidRPr="00887685">
        <w:rPr>
          <w:rFonts w:asciiTheme="majorHAnsi" w:hAnsiTheme="majorHAnsi" w:cstheme="majorHAnsi"/>
          <w:color w:val="000000"/>
          <w:sz w:val="22"/>
          <w:szCs w:val="22"/>
        </w:rPr>
        <w:t xml:space="preserve"> Committee</w:t>
      </w:r>
      <w:r w:rsidR="008013CD" w:rsidRPr="00887685">
        <w:rPr>
          <w:rFonts w:asciiTheme="majorHAnsi" w:hAnsiTheme="majorHAnsi" w:cstheme="majorHAnsi"/>
          <w:color w:val="000000"/>
          <w:sz w:val="22"/>
          <w:szCs w:val="22"/>
        </w:rPr>
        <w:t>, and a</w:t>
      </w:r>
      <w:r w:rsidR="005E4B58" w:rsidRPr="00887685">
        <w:rPr>
          <w:rFonts w:asciiTheme="majorHAnsi" w:hAnsiTheme="majorHAnsi" w:cstheme="majorHAnsi"/>
          <w:color w:val="000000"/>
          <w:sz w:val="22"/>
          <w:szCs w:val="22"/>
        </w:rPr>
        <w:t xml:space="preserve">dditional interviews with specific faculty trainers </w:t>
      </w:r>
      <w:r w:rsidR="00D906D9" w:rsidRPr="00887685">
        <w:rPr>
          <w:rFonts w:asciiTheme="majorHAnsi" w:hAnsiTheme="majorHAnsi" w:cstheme="majorHAnsi"/>
          <w:color w:val="000000"/>
          <w:sz w:val="22"/>
          <w:szCs w:val="22"/>
        </w:rPr>
        <w:t>are</w:t>
      </w:r>
      <w:r w:rsidR="005E4B58" w:rsidRPr="00887685">
        <w:rPr>
          <w:rFonts w:asciiTheme="majorHAnsi" w:hAnsiTheme="majorHAnsi" w:cstheme="majorHAnsi"/>
          <w:color w:val="000000"/>
          <w:sz w:val="22"/>
          <w:szCs w:val="22"/>
        </w:rPr>
        <w:t xml:space="preserve"> arranged </w:t>
      </w:r>
      <w:r w:rsidR="00B11A94" w:rsidRPr="00887685">
        <w:rPr>
          <w:rFonts w:asciiTheme="majorHAnsi" w:hAnsiTheme="majorHAnsi" w:cstheme="majorHAnsi"/>
          <w:color w:val="000000"/>
          <w:sz w:val="22"/>
          <w:szCs w:val="22"/>
        </w:rPr>
        <w:t>according to</w:t>
      </w:r>
      <w:r w:rsidR="005E4B58" w:rsidRPr="00887685">
        <w:rPr>
          <w:rFonts w:asciiTheme="majorHAnsi" w:hAnsiTheme="majorHAnsi" w:cstheme="majorHAnsi"/>
          <w:color w:val="000000"/>
          <w:sz w:val="22"/>
          <w:szCs w:val="22"/>
        </w:rPr>
        <w:t xml:space="preserve"> </w:t>
      </w:r>
      <w:r w:rsidR="00790425" w:rsidRPr="00887685">
        <w:rPr>
          <w:rFonts w:asciiTheme="majorHAnsi" w:hAnsiTheme="majorHAnsi" w:cstheme="majorHAnsi"/>
          <w:color w:val="000000"/>
          <w:sz w:val="22"/>
          <w:szCs w:val="22"/>
        </w:rPr>
        <w:t xml:space="preserve">the </w:t>
      </w:r>
      <w:r w:rsidR="005E4B58" w:rsidRPr="00887685">
        <w:rPr>
          <w:rFonts w:asciiTheme="majorHAnsi" w:hAnsiTheme="majorHAnsi" w:cstheme="majorHAnsi"/>
          <w:color w:val="000000"/>
          <w:sz w:val="22"/>
          <w:szCs w:val="22"/>
        </w:rPr>
        <w:t>expressed interests of the applicants and trainers</w:t>
      </w:r>
      <w:r w:rsidR="00DC7A38" w:rsidRPr="00887685">
        <w:rPr>
          <w:rFonts w:asciiTheme="majorHAnsi" w:hAnsiTheme="majorHAnsi" w:cstheme="majorHAnsi"/>
          <w:color w:val="000000"/>
          <w:sz w:val="22"/>
          <w:szCs w:val="22"/>
        </w:rPr>
        <w:t xml:space="preserve"> and a matching of research interests</w:t>
      </w:r>
      <w:r w:rsidR="005E4B58" w:rsidRPr="00887685">
        <w:rPr>
          <w:rFonts w:asciiTheme="majorHAnsi" w:hAnsiTheme="majorHAnsi" w:cstheme="majorHAnsi"/>
          <w:color w:val="000000"/>
          <w:sz w:val="22"/>
          <w:szCs w:val="22"/>
        </w:rPr>
        <w:t xml:space="preserve">.  </w:t>
      </w:r>
      <w:r w:rsidR="00D906D9" w:rsidRPr="00887685">
        <w:rPr>
          <w:rFonts w:asciiTheme="majorHAnsi" w:hAnsiTheme="majorHAnsi" w:cstheme="majorHAnsi"/>
          <w:color w:val="000000"/>
          <w:sz w:val="22"/>
          <w:szCs w:val="22"/>
        </w:rPr>
        <w:t xml:space="preserve">Current students in the program also interact extensively with the applicants during recruitment and provide the </w:t>
      </w:r>
      <w:r w:rsidR="00D05217" w:rsidRPr="00887685">
        <w:rPr>
          <w:rFonts w:asciiTheme="majorHAnsi" w:hAnsiTheme="majorHAnsi" w:cstheme="majorHAnsi"/>
          <w:color w:val="000000"/>
          <w:sz w:val="22"/>
          <w:szCs w:val="22"/>
        </w:rPr>
        <w:t>Admissions</w:t>
      </w:r>
      <w:r w:rsidR="00D906D9" w:rsidRPr="00887685">
        <w:rPr>
          <w:rFonts w:asciiTheme="majorHAnsi" w:hAnsiTheme="majorHAnsi" w:cstheme="majorHAnsi"/>
          <w:color w:val="000000"/>
          <w:sz w:val="22"/>
          <w:szCs w:val="22"/>
        </w:rPr>
        <w:t xml:space="preserve"> Committee with feedback from their own perspectives.  This </w:t>
      </w:r>
      <w:r w:rsidR="00D05217" w:rsidRPr="00887685">
        <w:rPr>
          <w:rFonts w:asciiTheme="majorHAnsi" w:hAnsiTheme="majorHAnsi" w:cstheme="majorHAnsi"/>
          <w:color w:val="000000"/>
          <w:sz w:val="22"/>
          <w:szCs w:val="22"/>
        </w:rPr>
        <w:t xml:space="preserve">student </w:t>
      </w:r>
      <w:r w:rsidR="00D906D9" w:rsidRPr="00887685">
        <w:rPr>
          <w:rFonts w:asciiTheme="majorHAnsi" w:hAnsiTheme="majorHAnsi" w:cstheme="majorHAnsi"/>
          <w:color w:val="000000"/>
          <w:sz w:val="22"/>
          <w:szCs w:val="22"/>
        </w:rPr>
        <w:t>feedback has been extremely helpful in admissions decisions.</w:t>
      </w:r>
      <w:r w:rsidR="00DC7A38" w:rsidRPr="00887685">
        <w:rPr>
          <w:rFonts w:asciiTheme="majorHAnsi" w:hAnsiTheme="majorHAnsi" w:cstheme="majorHAnsi"/>
          <w:color w:val="000000"/>
          <w:sz w:val="22"/>
          <w:szCs w:val="22"/>
        </w:rPr>
        <w:t xml:space="preserve">  </w:t>
      </w:r>
    </w:p>
    <w:p w14:paraId="30CC533B" w14:textId="77777777" w:rsidR="00A12A7A" w:rsidRPr="00887685" w:rsidRDefault="00A12A7A" w:rsidP="00A267C6">
      <w:pPr>
        <w:jc w:val="both"/>
        <w:rPr>
          <w:rFonts w:asciiTheme="majorHAnsi" w:hAnsiTheme="majorHAnsi" w:cstheme="majorHAnsi"/>
          <w:color w:val="000000"/>
          <w:sz w:val="22"/>
          <w:szCs w:val="22"/>
        </w:rPr>
      </w:pPr>
    </w:p>
    <w:p w14:paraId="04AC2034" w14:textId="2C72D701" w:rsidR="008E248A" w:rsidRPr="00887685" w:rsidRDefault="00E20851" w:rsidP="00A267C6">
      <w:pPr>
        <w:jc w:val="both"/>
        <w:rPr>
          <w:rFonts w:asciiTheme="majorHAnsi" w:hAnsiTheme="majorHAnsi" w:cstheme="majorHAnsi"/>
          <w:color w:val="000000"/>
          <w:sz w:val="22"/>
          <w:szCs w:val="22"/>
        </w:rPr>
      </w:pPr>
      <w:r w:rsidRPr="00887685">
        <w:rPr>
          <w:rFonts w:asciiTheme="majorHAnsi" w:hAnsiTheme="majorHAnsi" w:cstheme="majorHAnsi"/>
          <w:color w:val="000000"/>
          <w:sz w:val="22"/>
          <w:szCs w:val="22"/>
        </w:rPr>
        <w:t xml:space="preserve">The </w:t>
      </w:r>
      <w:r w:rsidRPr="00887685">
        <w:rPr>
          <w:rFonts w:asciiTheme="majorHAnsi" w:hAnsiTheme="majorHAnsi" w:cstheme="majorHAnsi"/>
          <w:b/>
          <w:bCs/>
          <w:i/>
          <w:iCs/>
          <w:color w:val="000000"/>
          <w:sz w:val="22"/>
          <w:szCs w:val="22"/>
        </w:rPr>
        <w:t>recruitment process</w:t>
      </w:r>
      <w:r w:rsidRPr="00887685">
        <w:rPr>
          <w:rFonts w:asciiTheme="majorHAnsi" w:hAnsiTheme="majorHAnsi" w:cstheme="majorHAnsi"/>
          <w:color w:val="000000"/>
          <w:sz w:val="22"/>
          <w:szCs w:val="22"/>
        </w:rPr>
        <w:t xml:space="preserve"> </w:t>
      </w:r>
      <w:r w:rsidR="00250C34" w:rsidRPr="00887685">
        <w:rPr>
          <w:rFonts w:asciiTheme="majorHAnsi" w:hAnsiTheme="majorHAnsi" w:cstheme="majorHAnsi"/>
          <w:color w:val="000000"/>
          <w:sz w:val="22"/>
          <w:szCs w:val="22"/>
        </w:rPr>
        <w:t xml:space="preserve">normally </w:t>
      </w:r>
      <w:r w:rsidRPr="00887685">
        <w:rPr>
          <w:rFonts w:asciiTheme="majorHAnsi" w:hAnsiTheme="majorHAnsi" w:cstheme="majorHAnsi"/>
          <w:color w:val="000000"/>
          <w:sz w:val="22"/>
          <w:szCs w:val="22"/>
        </w:rPr>
        <w:t xml:space="preserve">consists of a dinner with current graduate students on the applicants' arrival date, followed by a day of interviewing, which begins with breakfast with the </w:t>
      </w:r>
      <w:r w:rsidR="00442919" w:rsidRPr="00887685">
        <w:rPr>
          <w:rFonts w:asciiTheme="majorHAnsi" w:hAnsiTheme="majorHAnsi" w:cstheme="majorHAnsi"/>
          <w:color w:val="000000"/>
          <w:sz w:val="22"/>
          <w:szCs w:val="22"/>
        </w:rPr>
        <w:t xml:space="preserve">Program </w:t>
      </w:r>
      <w:r w:rsidRPr="00887685">
        <w:rPr>
          <w:rFonts w:asciiTheme="majorHAnsi" w:hAnsiTheme="majorHAnsi" w:cstheme="majorHAnsi"/>
          <w:color w:val="000000"/>
          <w:sz w:val="22"/>
          <w:szCs w:val="22"/>
        </w:rPr>
        <w:t xml:space="preserve">Director, includes lunch with the current students, and then ends with a dinner with the students and faculty.  The </w:t>
      </w:r>
      <w:r w:rsidR="008013CD" w:rsidRPr="00887685">
        <w:rPr>
          <w:rFonts w:asciiTheme="majorHAnsi" w:hAnsiTheme="majorHAnsi" w:cstheme="majorHAnsi"/>
          <w:color w:val="000000"/>
          <w:sz w:val="22"/>
          <w:szCs w:val="22"/>
        </w:rPr>
        <w:t>following</w:t>
      </w:r>
      <w:r w:rsidRPr="00887685">
        <w:rPr>
          <w:rFonts w:asciiTheme="majorHAnsi" w:hAnsiTheme="majorHAnsi" w:cstheme="majorHAnsi"/>
          <w:color w:val="000000"/>
          <w:sz w:val="22"/>
          <w:szCs w:val="22"/>
        </w:rPr>
        <w:t xml:space="preserve"> day, the applicants may opt to stay for breakfast with some of the current students and then explore the campus and surrounding areas</w:t>
      </w:r>
      <w:r w:rsidR="004D1CED" w:rsidRPr="00887685">
        <w:rPr>
          <w:rFonts w:asciiTheme="majorHAnsi" w:hAnsiTheme="majorHAnsi" w:cstheme="majorHAnsi"/>
          <w:color w:val="000000"/>
          <w:sz w:val="22"/>
          <w:szCs w:val="22"/>
        </w:rPr>
        <w:t xml:space="preserve"> on their own before departing; however, this last day's events are optional</w:t>
      </w:r>
      <w:r w:rsidRPr="00887685">
        <w:rPr>
          <w:rFonts w:asciiTheme="majorHAnsi" w:hAnsiTheme="majorHAnsi" w:cstheme="majorHAnsi"/>
          <w:color w:val="000000"/>
          <w:sz w:val="22"/>
          <w:szCs w:val="22"/>
        </w:rPr>
        <w:t xml:space="preserve">.  </w:t>
      </w:r>
      <w:r w:rsidR="00D82C8D" w:rsidRPr="00887685">
        <w:rPr>
          <w:rFonts w:asciiTheme="majorHAnsi" w:hAnsiTheme="majorHAnsi" w:cstheme="majorHAnsi"/>
          <w:color w:val="000000"/>
          <w:sz w:val="22"/>
          <w:szCs w:val="22"/>
        </w:rPr>
        <w:t xml:space="preserve">Most, if not all, current </w:t>
      </w:r>
      <w:r w:rsidR="00566BD2">
        <w:rPr>
          <w:rFonts w:asciiTheme="majorHAnsi" w:hAnsiTheme="majorHAnsi" w:cstheme="majorHAnsi"/>
          <w:color w:val="000000"/>
          <w:sz w:val="22"/>
          <w:szCs w:val="22"/>
        </w:rPr>
        <w:t>TSGP</w:t>
      </w:r>
      <w:r w:rsidR="00D82C8D" w:rsidRPr="00887685">
        <w:rPr>
          <w:rFonts w:asciiTheme="majorHAnsi" w:hAnsiTheme="majorHAnsi" w:cstheme="majorHAnsi"/>
          <w:color w:val="000000"/>
          <w:sz w:val="22"/>
          <w:szCs w:val="22"/>
        </w:rPr>
        <w:t xml:space="preserve"> students participate in the recruitment event, and each applicant is paired with a student host.  </w:t>
      </w:r>
      <w:r w:rsidR="008013CD" w:rsidRPr="00887685">
        <w:rPr>
          <w:rFonts w:asciiTheme="majorHAnsi" w:hAnsiTheme="majorHAnsi" w:cstheme="majorHAnsi"/>
          <w:color w:val="000000"/>
          <w:sz w:val="22"/>
          <w:szCs w:val="22"/>
        </w:rPr>
        <w:t>All recruiting expenses are covered by the Graduate Program.</w:t>
      </w:r>
      <w:r w:rsidR="00DD07B6" w:rsidRPr="00887685">
        <w:rPr>
          <w:rFonts w:asciiTheme="majorHAnsi" w:hAnsiTheme="majorHAnsi" w:cstheme="majorHAnsi"/>
          <w:color w:val="000000"/>
          <w:sz w:val="22"/>
          <w:szCs w:val="22"/>
        </w:rPr>
        <w:t xml:space="preserve">  The </w:t>
      </w:r>
      <w:r w:rsidR="00B44E83" w:rsidRPr="00887685">
        <w:rPr>
          <w:rFonts w:asciiTheme="majorHAnsi" w:hAnsiTheme="majorHAnsi" w:cstheme="majorHAnsi"/>
          <w:color w:val="000000"/>
          <w:sz w:val="22"/>
          <w:szCs w:val="22"/>
        </w:rPr>
        <w:t xml:space="preserve">application deadline and the </w:t>
      </w:r>
      <w:r w:rsidR="00DD07B6" w:rsidRPr="00887685">
        <w:rPr>
          <w:rFonts w:asciiTheme="majorHAnsi" w:hAnsiTheme="majorHAnsi" w:cstheme="majorHAnsi"/>
          <w:color w:val="000000"/>
          <w:sz w:val="22"/>
          <w:szCs w:val="22"/>
        </w:rPr>
        <w:t xml:space="preserve">dates for the recruitment event </w:t>
      </w:r>
      <w:r w:rsidR="003A0E12" w:rsidRPr="00887685">
        <w:rPr>
          <w:rFonts w:asciiTheme="majorHAnsi" w:hAnsiTheme="majorHAnsi" w:cstheme="majorHAnsi"/>
          <w:color w:val="000000"/>
          <w:sz w:val="22"/>
          <w:szCs w:val="22"/>
        </w:rPr>
        <w:t>are</w:t>
      </w:r>
      <w:r w:rsidR="00DD07B6" w:rsidRPr="00887685">
        <w:rPr>
          <w:rFonts w:asciiTheme="majorHAnsi" w:hAnsiTheme="majorHAnsi" w:cstheme="majorHAnsi"/>
          <w:color w:val="000000"/>
          <w:sz w:val="22"/>
          <w:szCs w:val="22"/>
        </w:rPr>
        <w:t xml:space="preserve"> posted on the </w:t>
      </w:r>
      <w:r w:rsidR="00887685" w:rsidRPr="00887685">
        <w:rPr>
          <w:rFonts w:asciiTheme="majorHAnsi" w:hAnsiTheme="majorHAnsi" w:cstheme="majorHAnsi"/>
          <w:color w:val="000000"/>
          <w:sz w:val="22"/>
          <w:szCs w:val="22"/>
        </w:rPr>
        <w:t>TSGP</w:t>
      </w:r>
      <w:r w:rsidR="00DD07B6" w:rsidRPr="00887685">
        <w:rPr>
          <w:rFonts w:asciiTheme="majorHAnsi" w:hAnsiTheme="majorHAnsi" w:cstheme="majorHAnsi"/>
          <w:color w:val="000000"/>
          <w:sz w:val="22"/>
          <w:szCs w:val="22"/>
        </w:rPr>
        <w:t xml:space="preserve"> website</w:t>
      </w:r>
      <w:r w:rsidR="00B44E83" w:rsidRPr="00887685">
        <w:rPr>
          <w:rFonts w:asciiTheme="majorHAnsi" w:hAnsiTheme="majorHAnsi" w:cstheme="majorHAnsi"/>
          <w:color w:val="000000"/>
          <w:sz w:val="22"/>
          <w:szCs w:val="22"/>
        </w:rPr>
        <w:t xml:space="preserve"> </w:t>
      </w:r>
      <w:r w:rsidR="00D15716" w:rsidRPr="00887685">
        <w:rPr>
          <w:rFonts w:asciiTheme="majorHAnsi" w:hAnsiTheme="majorHAnsi" w:cstheme="majorHAnsi"/>
          <w:color w:val="000000"/>
          <w:sz w:val="22"/>
          <w:szCs w:val="22"/>
        </w:rPr>
        <w:t xml:space="preserve">near </w:t>
      </w:r>
      <w:r w:rsidR="00B44E83" w:rsidRPr="00887685">
        <w:rPr>
          <w:rFonts w:asciiTheme="majorHAnsi" w:hAnsiTheme="majorHAnsi" w:cstheme="majorHAnsi"/>
          <w:color w:val="000000"/>
          <w:sz w:val="22"/>
          <w:szCs w:val="22"/>
        </w:rPr>
        <w:t xml:space="preserve">the start of </w:t>
      </w:r>
      <w:r w:rsidR="004659A7" w:rsidRPr="00887685">
        <w:rPr>
          <w:rFonts w:asciiTheme="majorHAnsi" w:hAnsiTheme="majorHAnsi" w:cstheme="majorHAnsi"/>
          <w:color w:val="000000"/>
          <w:sz w:val="22"/>
          <w:szCs w:val="22"/>
        </w:rPr>
        <w:t xml:space="preserve">each </w:t>
      </w:r>
      <w:r w:rsidR="00B44E83" w:rsidRPr="00887685">
        <w:rPr>
          <w:rFonts w:asciiTheme="majorHAnsi" w:hAnsiTheme="majorHAnsi" w:cstheme="majorHAnsi"/>
          <w:color w:val="000000"/>
          <w:sz w:val="22"/>
          <w:szCs w:val="22"/>
        </w:rPr>
        <w:t>fall semester</w:t>
      </w:r>
      <w:r w:rsidR="00DD07B6" w:rsidRPr="00887685">
        <w:rPr>
          <w:rFonts w:asciiTheme="majorHAnsi" w:hAnsiTheme="majorHAnsi" w:cstheme="majorHAnsi"/>
          <w:color w:val="000000"/>
          <w:sz w:val="22"/>
          <w:szCs w:val="22"/>
        </w:rPr>
        <w:t>.</w:t>
      </w:r>
      <w:r w:rsidR="00250C34" w:rsidRPr="00887685">
        <w:rPr>
          <w:rFonts w:asciiTheme="majorHAnsi" w:hAnsiTheme="majorHAnsi" w:cstheme="majorHAnsi"/>
          <w:color w:val="000000"/>
          <w:sz w:val="22"/>
          <w:szCs w:val="22"/>
        </w:rPr>
        <w:t xml:space="preserve">  </w:t>
      </w:r>
      <w:r w:rsidR="00250C34" w:rsidRPr="00887685">
        <w:rPr>
          <w:rFonts w:asciiTheme="majorHAnsi" w:hAnsiTheme="majorHAnsi" w:cstheme="majorHAnsi"/>
          <w:b/>
          <w:bCs/>
          <w:i/>
          <w:iCs/>
          <w:color w:val="000000"/>
          <w:sz w:val="22"/>
          <w:szCs w:val="22"/>
        </w:rPr>
        <w:t xml:space="preserve">NOTE:  During the Covid-19 pandemic, our recruitment process </w:t>
      </w:r>
      <w:r w:rsidR="00887685" w:rsidRPr="00887685">
        <w:rPr>
          <w:rFonts w:asciiTheme="majorHAnsi" w:hAnsiTheme="majorHAnsi" w:cstheme="majorHAnsi"/>
          <w:b/>
          <w:bCs/>
          <w:i/>
          <w:iCs/>
          <w:color w:val="000000"/>
          <w:sz w:val="22"/>
          <w:szCs w:val="22"/>
        </w:rPr>
        <w:t>may be partially or entirely</w:t>
      </w:r>
      <w:r w:rsidR="00250C34" w:rsidRPr="00887685">
        <w:rPr>
          <w:rFonts w:asciiTheme="majorHAnsi" w:hAnsiTheme="majorHAnsi" w:cstheme="majorHAnsi"/>
          <w:b/>
          <w:bCs/>
          <w:i/>
          <w:iCs/>
          <w:color w:val="000000"/>
          <w:sz w:val="22"/>
          <w:szCs w:val="22"/>
        </w:rPr>
        <w:t xml:space="preserve"> virtual</w:t>
      </w:r>
      <w:r w:rsidR="00887685" w:rsidRPr="00887685">
        <w:rPr>
          <w:rFonts w:asciiTheme="majorHAnsi" w:hAnsiTheme="majorHAnsi" w:cstheme="majorHAnsi"/>
          <w:b/>
          <w:bCs/>
          <w:i/>
          <w:iCs/>
          <w:color w:val="000000"/>
          <w:sz w:val="22"/>
          <w:szCs w:val="22"/>
        </w:rPr>
        <w:t>; a decision about this will be made close to the time of the recruitment event, as conditions are assessed</w:t>
      </w:r>
      <w:r w:rsidR="00250C34" w:rsidRPr="00887685">
        <w:rPr>
          <w:rFonts w:asciiTheme="majorHAnsi" w:hAnsiTheme="majorHAnsi" w:cstheme="majorHAnsi"/>
          <w:b/>
          <w:bCs/>
          <w:i/>
          <w:iCs/>
          <w:color w:val="000000"/>
          <w:sz w:val="22"/>
          <w:szCs w:val="22"/>
        </w:rPr>
        <w:t>.</w:t>
      </w:r>
    </w:p>
    <w:p w14:paraId="4A4B20C2" w14:textId="77777777" w:rsidR="00EC0CEF" w:rsidRPr="00887685" w:rsidRDefault="00EC0CEF" w:rsidP="008E248A">
      <w:pPr>
        <w:jc w:val="both"/>
        <w:rPr>
          <w:rFonts w:asciiTheme="majorHAnsi" w:hAnsiTheme="majorHAnsi" w:cstheme="majorHAnsi"/>
          <w:color w:val="000000"/>
          <w:sz w:val="22"/>
          <w:szCs w:val="22"/>
        </w:rPr>
      </w:pPr>
    </w:p>
    <w:p w14:paraId="58A799D4" w14:textId="4D68CB0D" w:rsidR="008E248A" w:rsidRPr="00887685" w:rsidRDefault="008E248A" w:rsidP="00E5164D">
      <w:pPr>
        <w:jc w:val="both"/>
        <w:rPr>
          <w:rFonts w:asciiTheme="majorHAnsi" w:hAnsiTheme="majorHAnsi" w:cstheme="majorHAnsi"/>
          <w:b/>
          <w:color w:val="000000"/>
          <w:sz w:val="22"/>
          <w:szCs w:val="22"/>
          <w:u w:val="single"/>
        </w:rPr>
      </w:pPr>
      <w:r w:rsidRPr="00887685">
        <w:rPr>
          <w:rFonts w:asciiTheme="majorHAnsi" w:hAnsiTheme="majorHAnsi" w:cstheme="majorHAnsi"/>
          <w:b/>
          <w:color w:val="000000"/>
          <w:sz w:val="22"/>
          <w:szCs w:val="22"/>
        </w:rPr>
        <w:t>I</w:t>
      </w:r>
      <w:r w:rsidR="0095641C" w:rsidRPr="00887685">
        <w:rPr>
          <w:rFonts w:asciiTheme="majorHAnsi" w:hAnsiTheme="majorHAnsi" w:cstheme="majorHAnsi"/>
          <w:b/>
          <w:color w:val="000000"/>
          <w:sz w:val="22"/>
          <w:szCs w:val="22"/>
        </w:rPr>
        <w:t>II</w:t>
      </w:r>
      <w:r w:rsidRPr="00887685">
        <w:rPr>
          <w:rFonts w:asciiTheme="majorHAnsi" w:hAnsiTheme="majorHAnsi" w:cstheme="majorHAnsi"/>
          <w:b/>
          <w:color w:val="000000"/>
          <w:sz w:val="22"/>
          <w:szCs w:val="22"/>
        </w:rPr>
        <w:t xml:space="preserve">. </w:t>
      </w:r>
      <w:r w:rsidR="00976540" w:rsidRPr="00887685">
        <w:rPr>
          <w:rFonts w:asciiTheme="majorHAnsi" w:hAnsiTheme="majorHAnsi" w:cstheme="majorHAnsi"/>
          <w:b/>
          <w:color w:val="000000"/>
          <w:sz w:val="22"/>
          <w:szCs w:val="22"/>
        </w:rPr>
        <w:t>Advising</w:t>
      </w:r>
      <w:r w:rsidR="00E5164D" w:rsidRPr="00887685">
        <w:rPr>
          <w:rFonts w:asciiTheme="majorHAnsi" w:hAnsiTheme="majorHAnsi" w:cstheme="majorHAnsi"/>
          <w:b/>
          <w:color w:val="000000"/>
          <w:sz w:val="22"/>
          <w:szCs w:val="22"/>
        </w:rPr>
        <w:t xml:space="preserve"> and Resources for Student Support</w:t>
      </w:r>
    </w:p>
    <w:p w14:paraId="159E7902" w14:textId="57BCBD21" w:rsidR="00976540" w:rsidRPr="00887685" w:rsidRDefault="00976540" w:rsidP="00BF4129">
      <w:pPr>
        <w:jc w:val="both"/>
        <w:rPr>
          <w:rFonts w:asciiTheme="majorHAnsi" w:hAnsiTheme="majorHAnsi" w:cstheme="majorHAnsi"/>
          <w:color w:val="000000"/>
          <w:sz w:val="22"/>
          <w:szCs w:val="22"/>
        </w:rPr>
      </w:pPr>
    </w:p>
    <w:p w14:paraId="44CFA688" w14:textId="3D8D1A4C" w:rsidR="00362040" w:rsidRPr="00887685" w:rsidRDefault="00D86F57" w:rsidP="00C66EBD">
      <w:pPr>
        <w:jc w:val="both"/>
        <w:rPr>
          <w:rFonts w:asciiTheme="majorHAnsi" w:hAnsiTheme="majorHAnsi" w:cstheme="majorHAnsi"/>
          <w:sz w:val="22"/>
          <w:szCs w:val="22"/>
        </w:rPr>
      </w:pPr>
      <w:r w:rsidRPr="00887685">
        <w:rPr>
          <w:rFonts w:asciiTheme="majorHAnsi" w:hAnsiTheme="majorHAnsi" w:cstheme="majorHAnsi"/>
          <w:b/>
          <w:i/>
          <w:sz w:val="22"/>
          <w:szCs w:val="22"/>
          <w:u w:val="single"/>
        </w:rPr>
        <w:t>Academic</w:t>
      </w:r>
      <w:r w:rsidR="00976540" w:rsidRPr="00887685">
        <w:rPr>
          <w:rFonts w:asciiTheme="majorHAnsi" w:hAnsiTheme="majorHAnsi" w:cstheme="majorHAnsi"/>
          <w:b/>
          <w:i/>
          <w:sz w:val="22"/>
          <w:szCs w:val="22"/>
          <w:u w:val="single"/>
        </w:rPr>
        <w:t xml:space="preserve"> advising</w:t>
      </w:r>
      <w:r w:rsidR="00976540" w:rsidRPr="00887685">
        <w:rPr>
          <w:rFonts w:asciiTheme="majorHAnsi" w:hAnsiTheme="majorHAnsi" w:cstheme="majorHAnsi"/>
          <w:sz w:val="22"/>
          <w:szCs w:val="22"/>
        </w:rPr>
        <w:t xml:space="preserve">.  </w:t>
      </w:r>
      <w:r w:rsidR="00362040" w:rsidRPr="00887685">
        <w:rPr>
          <w:rFonts w:asciiTheme="majorHAnsi" w:hAnsiTheme="majorHAnsi" w:cstheme="majorHAnsi"/>
          <w:sz w:val="22"/>
          <w:szCs w:val="22"/>
        </w:rPr>
        <w:t xml:space="preserve">Before each student enters a lab for their dissertation research, the Program Director and </w:t>
      </w:r>
      <w:r w:rsidRPr="00887685">
        <w:rPr>
          <w:rFonts w:asciiTheme="majorHAnsi" w:hAnsiTheme="majorHAnsi" w:cstheme="majorHAnsi"/>
          <w:sz w:val="22"/>
          <w:szCs w:val="22"/>
        </w:rPr>
        <w:t>Graduate Program</w:t>
      </w:r>
      <w:r w:rsidR="00362040" w:rsidRPr="00887685">
        <w:rPr>
          <w:rFonts w:asciiTheme="majorHAnsi" w:hAnsiTheme="majorHAnsi" w:cstheme="majorHAnsi"/>
          <w:sz w:val="22"/>
          <w:szCs w:val="22"/>
        </w:rPr>
        <w:t xml:space="preserve"> Committee provide customized advising on curricular matters, research rotations, choosing a Thesis Advisor, and just generally navigating life in graduate school.  At the beginning of the first year, entering students receive early advising in an </w:t>
      </w:r>
      <w:r w:rsidRPr="00887685">
        <w:rPr>
          <w:rFonts w:asciiTheme="majorHAnsi" w:hAnsiTheme="majorHAnsi" w:cstheme="majorHAnsi"/>
          <w:sz w:val="22"/>
          <w:szCs w:val="22"/>
        </w:rPr>
        <w:t>O</w:t>
      </w:r>
      <w:r w:rsidR="00362040" w:rsidRPr="00887685">
        <w:rPr>
          <w:rFonts w:asciiTheme="majorHAnsi" w:hAnsiTheme="majorHAnsi" w:cstheme="majorHAnsi"/>
          <w:sz w:val="22"/>
          <w:szCs w:val="22"/>
        </w:rPr>
        <w:t xml:space="preserve">rientation </w:t>
      </w:r>
      <w:r w:rsidRPr="00887685">
        <w:rPr>
          <w:rFonts w:asciiTheme="majorHAnsi" w:hAnsiTheme="majorHAnsi" w:cstheme="majorHAnsi"/>
          <w:sz w:val="22"/>
          <w:szCs w:val="22"/>
        </w:rPr>
        <w:t>S</w:t>
      </w:r>
      <w:r w:rsidR="00362040" w:rsidRPr="00887685">
        <w:rPr>
          <w:rFonts w:asciiTheme="majorHAnsi" w:hAnsiTheme="majorHAnsi" w:cstheme="majorHAnsi"/>
          <w:sz w:val="22"/>
          <w:szCs w:val="22"/>
        </w:rPr>
        <w:t xml:space="preserve">ession that includes their fellow first-year students, the Program Director, Curriculum Director and Program Coordinator, as well as the second-year students who have immediately relevant experience, having just gone through the same processes the previous year.  One member of the </w:t>
      </w:r>
      <w:r w:rsidRPr="00887685">
        <w:rPr>
          <w:rFonts w:asciiTheme="majorHAnsi" w:hAnsiTheme="majorHAnsi" w:cstheme="majorHAnsi"/>
          <w:sz w:val="22"/>
          <w:szCs w:val="22"/>
        </w:rPr>
        <w:t xml:space="preserve">Graduate Program </w:t>
      </w:r>
      <w:r w:rsidR="00362040" w:rsidRPr="00887685">
        <w:rPr>
          <w:rFonts w:asciiTheme="majorHAnsi" w:hAnsiTheme="majorHAnsi" w:cstheme="majorHAnsi"/>
          <w:sz w:val="22"/>
          <w:szCs w:val="22"/>
        </w:rPr>
        <w:t xml:space="preserve">Committee, the Curriculum Director, also advises the students as </w:t>
      </w:r>
      <w:r w:rsidR="00887685">
        <w:rPr>
          <w:rFonts w:asciiTheme="majorHAnsi" w:hAnsiTheme="majorHAnsi" w:cstheme="majorHAnsi"/>
          <w:sz w:val="22"/>
          <w:szCs w:val="22"/>
        </w:rPr>
        <w:t>director</w:t>
      </w:r>
      <w:r w:rsidR="00362040" w:rsidRPr="00887685">
        <w:rPr>
          <w:rFonts w:asciiTheme="majorHAnsi" w:hAnsiTheme="majorHAnsi" w:cstheme="majorHAnsi"/>
          <w:sz w:val="22"/>
          <w:szCs w:val="22"/>
        </w:rPr>
        <w:t xml:space="preserve"> of </w:t>
      </w:r>
      <w:r w:rsidR="00887685">
        <w:rPr>
          <w:rFonts w:asciiTheme="majorHAnsi" w:hAnsiTheme="majorHAnsi" w:cstheme="majorHAnsi"/>
          <w:sz w:val="22"/>
          <w:szCs w:val="22"/>
        </w:rPr>
        <w:t>their core courses</w:t>
      </w:r>
      <w:r w:rsidR="00362040" w:rsidRPr="00887685">
        <w:rPr>
          <w:rFonts w:asciiTheme="majorHAnsi" w:hAnsiTheme="majorHAnsi" w:cstheme="majorHAnsi"/>
          <w:sz w:val="22"/>
          <w:szCs w:val="22"/>
        </w:rPr>
        <w:t>, and</w:t>
      </w:r>
      <w:r w:rsidR="00887685">
        <w:rPr>
          <w:rFonts w:asciiTheme="majorHAnsi" w:hAnsiTheme="majorHAnsi" w:cstheme="majorHAnsi"/>
          <w:sz w:val="22"/>
          <w:szCs w:val="22"/>
        </w:rPr>
        <w:t>,</w:t>
      </w:r>
      <w:r w:rsidR="00362040" w:rsidRPr="00887685">
        <w:rPr>
          <w:rFonts w:asciiTheme="majorHAnsi" w:hAnsiTheme="majorHAnsi" w:cstheme="majorHAnsi"/>
          <w:sz w:val="22"/>
          <w:szCs w:val="22"/>
        </w:rPr>
        <w:t xml:space="preserve"> like the Program Director, continues to closely mentor the students throughout their time in graduate school.  </w:t>
      </w:r>
    </w:p>
    <w:p w14:paraId="06C71248" w14:textId="77777777" w:rsidR="00D86F57" w:rsidRPr="00CC4885" w:rsidRDefault="00D86F57" w:rsidP="00C66EBD">
      <w:pPr>
        <w:jc w:val="both"/>
        <w:rPr>
          <w:rFonts w:asciiTheme="majorHAnsi" w:hAnsiTheme="majorHAnsi" w:cstheme="majorHAnsi"/>
        </w:rPr>
      </w:pPr>
    </w:p>
    <w:p w14:paraId="3E02C8B6" w14:textId="42D751F0" w:rsidR="00844B93" w:rsidRPr="005F29D9" w:rsidRDefault="00362040" w:rsidP="00976540">
      <w:pPr>
        <w:jc w:val="both"/>
        <w:rPr>
          <w:rFonts w:asciiTheme="majorHAnsi" w:hAnsiTheme="majorHAnsi" w:cstheme="majorHAnsi"/>
          <w:sz w:val="22"/>
          <w:szCs w:val="22"/>
        </w:rPr>
      </w:pPr>
      <w:r w:rsidRPr="005F29D9">
        <w:rPr>
          <w:rFonts w:asciiTheme="majorHAnsi" w:hAnsiTheme="majorHAnsi" w:cstheme="majorHAnsi"/>
          <w:sz w:val="22"/>
          <w:szCs w:val="22"/>
        </w:rPr>
        <w:t xml:space="preserve">Once the students have entered their thesis labs, their Thesis Advisor and Thesis Committee play the largest role in their advising, especially in research matters, but the Program Director, Curriculum Director and other </w:t>
      </w:r>
      <w:r w:rsidR="00D86F57" w:rsidRPr="005F29D9">
        <w:rPr>
          <w:rFonts w:asciiTheme="majorHAnsi" w:hAnsiTheme="majorHAnsi" w:cstheme="majorHAnsi"/>
          <w:sz w:val="22"/>
          <w:szCs w:val="22"/>
        </w:rPr>
        <w:t>Graduate Program</w:t>
      </w:r>
      <w:r w:rsidRPr="005F29D9">
        <w:rPr>
          <w:rFonts w:asciiTheme="majorHAnsi" w:hAnsiTheme="majorHAnsi" w:cstheme="majorHAnsi"/>
          <w:sz w:val="22"/>
          <w:szCs w:val="22"/>
        </w:rPr>
        <w:t xml:space="preserve"> Committee members continue to advise them as needed, providing continuity throughout graduate school.  </w:t>
      </w:r>
      <w:r w:rsidR="005F29D9">
        <w:rPr>
          <w:rFonts w:asciiTheme="majorHAnsi" w:hAnsiTheme="majorHAnsi" w:cstheme="majorHAnsi"/>
          <w:sz w:val="22"/>
          <w:szCs w:val="22"/>
        </w:rPr>
        <w:t xml:space="preserve">There are </w:t>
      </w:r>
      <w:r w:rsidRPr="005F29D9">
        <w:rPr>
          <w:rFonts w:asciiTheme="majorHAnsi" w:hAnsiTheme="majorHAnsi" w:cstheme="majorHAnsi"/>
          <w:sz w:val="22"/>
          <w:szCs w:val="22"/>
        </w:rPr>
        <w:t xml:space="preserve">scheduled meetings with the </w:t>
      </w:r>
      <w:r w:rsidR="00D86F57" w:rsidRPr="005F29D9">
        <w:rPr>
          <w:rFonts w:asciiTheme="majorHAnsi" w:hAnsiTheme="majorHAnsi" w:cstheme="majorHAnsi"/>
          <w:sz w:val="22"/>
          <w:szCs w:val="22"/>
        </w:rPr>
        <w:t xml:space="preserve">Graduate Program </w:t>
      </w:r>
      <w:r w:rsidRPr="005F29D9">
        <w:rPr>
          <w:rFonts w:asciiTheme="majorHAnsi" w:hAnsiTheme="majorHAnsi" w:cstheme="majorHAnsi"/>
          <w:sz w:val="22"/>
          <w:szCs w:val="22"/>
        </w:rPr>
        <w:t>Committee or Program Director during key periods</w:t>
      </w:r>
      <w:r w:rsidR="005F29D9">
        <w:rPr>
          <w:rFonts w:asciiTheme="majorHAnsi" w:hAnsiTheme="majorHAnsi" w:cstheme="majorHAnsi"/>
          <w:sz w:val="22"/>
          <w:szCs w:val="22"/>
        </w:rPr>
        <w:t>, such as when</w:t>
      </w:r>
      <w:r w:rsidRPr="005F29D9">
        <w:rPr>
          <w:rFonts w:asciiTheme="majorHAnsi" w:hAnsiTheme="majorHAnsi" w:cstheme="majorHAnsi"/>
          <w:sz w:val="22"/>
          <w:szCs w:val="22"/>
        </w:rPr>
        <w:t xml:space="preserve"> the students are choosing electives, rotation labs and Thesis Committee members, or preparing for their first Thesis Committee meeting or Qualifying Exam</w:t>
      </w:r>
      <w:r w:rsidR="005F29D9">
        <w:rPr>
          <w:rFonts w:asciiTheme="majorHAnsi" w:hAnsiTheme="majorHAnsi" w:cstheme="majorHAnsi"/>
          <w:sz w:val="22"/>
          <w:szCs w:val="22"/>
        </w:rPr>
        <w:t xml:space="preserve">. </w:t>
      </w:r>
      <w:r w:rsidRPr="005F29D9">
        <w:rPr>
          <w:rFonts w:asciiTheme="majorHAnsi" w:hAnsiTheme="majorHAnsi" w:cstheme="majorHAnsi"/>
          <w:sz w:val="22"/>
          <w:szCs w:val="22"/>
        </w:rPr>
        <w:t xml:space="preserve"> </w:t>
      </w:r>
      <w:r w:rsidR="005F29D9">
        <w:rPr>
          <w:rFonts w:asciiTheme="majorHAnsi" w:hAnsiTheme="majorHAnsi" w:cstheme="majorHAnsi"/>
          <w:sz w:val="22"/>
          <w:szCs w:val="22"/>
        </w:rPr>
        <w:t>In addition, t</w:t>
      </w:r>
      <w:r w:rsidRPr="005F29D9">
        <w:rPr>
          <w:rFonts w:asciiTheme="majorHAnsi" w:hAnsiTheme="majorHAnsi" w:cstheme="majorHAnsi"/>
          <w:sz w:val="22"/>
          <w:szCs w:val="22"/>
        </w:rPr>
        <w:t xml:space="preserve">here are frequent individual </w:t>
      </w:r>
      <w:r w:rsidRPr="005F29D9">
        <w:rPr>
          <w:rFonts w:asciiTheme="majorHAnsi" w:hAnsiTheme="majorHAnsi" w:cstheme="majorHAnsi"/>
          <w:i/>
          <w:iCs/>
          <w:sz w:val="22"/>
          <w:szCs w:val="22"/>
        </w:rPr>
        <w:t>ad hoc</w:t>
      </w:r>
      <w:r w:rsidRPr="005F29D9">
        <w:rPr>
          <w:rFonts w:asciiTheme="majorHAnsi" w:hAnsiTheme="majorHAnsi" w:cstheme="majorHAnsi"/>
          <w:sz w:val="22"/>
          <w:szCs w:val="22"/>
        </w:rPr>
        <w:t xml:space="preserve"> meetings that occur throughout the student's time in the program, as a result of the open door policy of the Program Director and Curriculum Director.  Finally, peer advising is very strong in our program</w:t>
      </w:r>
      <w:r w:rsidR="00FC06FB" w:rsidRPr="005F29D9">
        <w:rPr>
          <w:rFonts w:asciiTheme="majorHAnsi" w:hAnsiTheme="majorHAnsi" w:cstheme="majorHAnsi"/>
          <w:sz w:val="22"/>
          <w:szCs w:val="22"/>
        </w:rPr>
        <w:t xml:space="preserve"> (see below) and is </w:t>
      </w:r>
      <w:r w:rsidR="00684F80" w:rsidRPr="005F29D9">
        <w:rPr>
          <w:rFonts w:asciiTheme="majorHAnsi" w:hAnsiTheme="majorHAnsi" w:cstheme="majorHAnsi"/>
          <w:sz w:val="22"/>
          <w:szCs w:val="22"/>
        </w:rPr>
        <w:t xml:space="preserve">especially </w:t>
      </w:r>
      <w:r w:rsidR="00FC06FB" w:rsidRPr="005F29D9">
        <w:rPr>
          <w:rFonts w:asciiTheme="majorHAnsi" w:hAnsiTheme="majorHAnsi" w:cstheme="majorHAnsi"/>
          <w:sz w:val="22"/>
          <w:szCs w:val="22"/>
        </w:rPr>
        <w:t>helpful in academic planning by the first</w:t>
      </w:r>
      <w:r w:rsidR="005F29D9">
        <w:rPr>
          <w:rFonts w:asciiTheme="majorHAnsi" w:hAnsiTheme="majorHAnsi" w:cstheme="majorHAnsi"/>
          <w:sz w:val="22"/>
          <w:szCs w:val="22"/>
        </w:rPr>
        <w:t>-</w:t>
      </w:r>
      <w:r w:rsidR="00FC06FB" w:rsidRPr="005F29D9">
        <w:rPr>
          <w:rFonts w:asciiTheme="majorHAnsi" w:hAnsiTheme="majorHAnsi" w:cstheme="majorHAnsi"/>
          <w:sz w:val="22"/>
          <w:szCs w:val="22"/>
        </w:rPr>
        <w:t xml:space="preserve"> and second-year students</w:t>
      </w:r>
      <w:r w:rsidRPr="005F29D9">
        <w:rPr>
          <w:rFonts w:asciiTheme="majorHAnsi" w:hAnsiTheme="majorHAnsi" w:cstheme="majorHAnsi"/>
          <w:sz w:val="22"/>
          <w:szCs w:val="22"/>
        </w:rPr>
        <w:t xml:space="preserve">.  </w:t>
      </w:r>
    </w:p>
    <w:p w14:paraId="62A61A24" w14:textId="77777777" w:rsidR="00844B93" w:rsidRPr="005F29D9" w:rsidRDefault="00844B93" w:rsidP="00976540">
      <w:pPr>
        <w:jc w:val="both"/>
        <w:rPr>
          <w:rFonts w:asciiTheme="majorHAnsi" w:hAnsiTheme="majorHAnsi" w:cstheme="majorHAnsi"/>
          <w:sz w:val="22"/>
          <w:szCs w:val="22"/>
        </w:rPr>
      </w:pPr>
    </w:p>
    <w:p w14:paraId="1E24CA7D" w14:textId="5917460E" w:rsidR="00684F80" w:rsidRPr="00EC7A71" w:rsidRDefault="00844B93" w:rsidP="005212C7">
      <w:pPr>
        <w:jc w:val="both"/>
        <w:rPr>
          <w:rFonts w:asciiTheme="majorHAnsi" w:hAnsiTheme="majorHAnsi" w:cstheme="majorHAnsi"/>
          <w:sz w:val="22"/>
          <w:szCs w:val="22"/>
        </w:rPr>
      </w:pPr>
      <w:r w:rsidRPr="00EC7A71">
        <w:rPr>
          <w:rFonts w:asciiTheme="majorHAnsi" w:hAnsiTheme="majorHAnsi" w:cstheme="majorHAnsi"/>
          <w:sz w:val="22"/>
          <w:szCs w:val="22"/>
        </w:rPr>
        <w:t xml:space="preserve">Small group </w:t>
      </w:r>
      <w:r w:rsidR="00DE07BE" w:rsidRPr="00EC7A71">
        <w:rPr>
          <w:rFonts w:asciiTheme="majorHAnsi" w:hAnsiTheme="majorHAnsi" w:cstheme="majorHAnsi"/>
          <w:sz w:val="22"/>
          <w:szCs w:val="22"/>
        </w:rPr>
        <w:t>advisory</w:t>
      </w:r>
      <w:r w:rsidRPr="00EC7A71">
        <w:rPr>
          <w:rFonts w:asciiTheme="majorHAnsi" w:hAnsiTheme="majorHAnsi" w:cstheme="majorHAnsi"/>
          <w:sz w:val="22"/>
          <w:szCs w:val="22"/>
        </w:rPr>
        <w:t xml:space="preserve"> meetings are also organized around specific topics, such as preparation for the Qualifying Exam and Thesis Defense, strategies for job searches, etc.  These meetings are attended by the Program Director and students for whom the topics have immediate relevance, as well as by students or alumni</w:t>
      </w:r>
      <w:r w:rsidR="00EC7A71">
        <w:rPr>
          <w:rFonts w:asciiTheme="majorHAnsi" w:hAnsiTheme="majorHAnsi" w:cstheme="majorHAnsi"/>
          <w:sz w:val="22"/>
          <w:szCs w:val="22"/>
        </w:rPr>
        <w:t>(</w:t>
      </w:r>
      <w:r w:rsidRPr="00EC7A71">
        <w:rPr>
          <w:rFonts w:asciiTheme="majorHAnsi" w:hAnsiTheme="majorHAnsi" w:cstheme="majorHAnsi"/>
          <w:sz w:val="22"/>
          <w:szCs w:val="22"/>
        </w:rPr>
        <w:t>ae</w:t>
      </w:r>
      <w:r w:rsidR="00EC7A71">
        <w:rPr>
          <w:rFonts w:asciiTheme="majorHAnsi" w:hAnsiTheme="majorHAnsi" w:cstheme="majorHAnsi"/>
          <w:sz w:val="22"/>
          <w:szCs w:val="22"/>
        </w:rPr>
        <w:t>)</w:t>
      </w:r>
      <w:r w:rsidRPr="00EC7A71">
        <w:rPr>
          <w:rFonts w:asciiTheme="majorHAnsi" w:hAnsiTheme="majorHAnsi" w:cstheme="majorHAnsi"/>
          <w:sz w:val="22"/>
          <w:szCs w:val="22"/>
        </w:rPr>
        <w:t xml:space="preserve"> who have recently gone through the particular key processes and can offer their own advice and perspectives.  In addition, students often organize more informal social group meetings (e.g., dinners) to discuss these same issues</w:t>
      </w:r>
      <w:r w:rsidR="00DE07BE" w:rsidRPr="00EC7A71">
        <w:rPr>
          <w:rFonts w:asciiTheme="majorHAnsi" w:hAnsiTheme="majorHAnsi" w:cstheme="majorHAnsi"/>
          <w:sz w:val="22"/>
          <w:szCs w:val="22"/>
        </w:rPr>
        <w:t>.</w:t>
      </w:r>
    </w:p>
    <w:p w14:paraId="18DFCE30" w14:textId="77777777" w:rsidR="00976540" w:rsidRPr="00EC7A71" w:rsidRDefault="00976540" w:rsidP="00976540">
      <w:pPr>
        <w:jc w:val="both"/>
        <w:rPr>
          <w:rFonts w:asciiTheme="majorHAnsi" w:hAnsiTheme="majorHAnsi" w:cstheme="majorHAnsi"/>
          <w:sz w:val="22"/>
          <w:szCs w:val="22"/>
        </w:rPr>
      </w:pPr>
    </w:p>
    <w:p w14:paraId="5CF5B9F0" w14:textId="7309FFC6" w:rsidR="00976540" w:rsidRPr="000A179B" w:rsidRDefault="00976540" w:rsidP="00976540">
      <w:pPr>
        <w:jc w:val="both"/>
        <w:rPr>
          <w:rFonts w:asciiTheme="majorHAnsi" w:hAnsiTheme="majorHAnsi" w:cstheme="majorHAnsi"/>
          <w:sz w:val="22"/>
          <w:szCs w:val="22"/>
        </w:rPr>
      </w:pPr>
      <w:r w:rsidRPr="006575A7">
        <w:rPr>
          <w:rFonts w:asciiTheme="majorHAnsi" w:hAnsiTheme="majorHAnsi" w:cstheme="majorHAnsi"/>
          <w:b/>
          <w:i/>
          <w:sz w:val="22"/>
          <w:szCs w:val="22"/>
          <w:u w:val="single"/>
        </w:rPr>
        <w:t>Research advising</w:t>
      </w:r>
      <w:r w:rsidRPr="006575A7">
        <w:rPr>
          <w:rFonts w:asciiTheme="majorHAnsi" w:hAnsiTheme="majorHAnsi" w:cstheme="majorHAnsi"/>
          <w:sz w:val="22"/>
          <w:szCs w:val="22"/>
        </w:rPr>
        <w:t>.</w:t>
      </w:r>
      <w:r w:rsidRPr="00CC4885">
        <w:rPr>
          <w:rFonts w:asciiTheme="majorHAnsi" w:hAnsiTheme="majorHAnsi" w:cstheme="majorHAnsi"/>
        </w:rPr>
        <w:t xml:space="preserve">  </w:t>
      </w:r>
      <w:r w:rsidRPr="000A179B">
        <w:rPr>
          <w:rFonts w:asciiTheme="majorHAnsi" w:hAnsiTheme="majorHAnsi" w:cstheme="majorHAnsi"/>
          <w:sz w:val="22"/>
          <w:szCs w:val="22"/>
        </w:rPr>
        <w:t xml:space="preserve">Once </w:t>
      </w:r>
      <w:r w:rsidR="000A179B" w:rsidRPr="000A179B">
        <w:rPr>
          <w:rFonts w:asciiTheme="majorHAnsi" w:hAnsiTheme="majorHAnsi" w:cstheme="majorHAnsi"/>
          <w:sz w:val="22"/>
          <w:szCs w:val="22"/>
        </w:rPr>
        <w:t>a</w:t>
      </w:r>
      <w:r w:rsidRPr="000A179B">
        <w:rPr>
          <w:rFonts w:asciiTheme="majorHAnsi" w:hAnsiTheme="majorHAnsi" w:cstheme="majorHAnsi"/>
          <w:sz w:val="22"/>
          <w:szCs w:val="22"/>
        </w:rPr>
        <w:t xml:space="preserve"> student is involved in thesis research, research-related advising is handled first by the Thesis Advisor and Thesis Committee, </w:t>
      </w:r>
      <w:r w:rsidR="00763533" w:rsidRPr="000A179B">
        <w:rPr>
          <w:rFonts w:asciiTheme="majorHAnsi" w:hAnsiTheme="majorHAnsi" w:cstheme="majorHAnsi"/>
          <w:sz w:val="22"/>
          <w:szCs w:val="22"/>
        </w:rPr>
        <w:t xml:space="preserve">who interact with the student as a group </w:t>
      </w:r>
      <w:r w:rsidRPr="000A179B">
        <w:rPr>
          <w:rFonts w:asciiTheme="majorHAnsi" w:hAnsiTheme="majorHAnsi" w:cstheme="majorHAnsi"/>
          <w:sz w:val="22"/>
          <w:szCs w:val="22"/>
        </w:rPr>
        <w:t xml:space="preserve">at least twice per year to review progress </w:t>
      </w:r>
      <w:r w:rsidR="00CC1365" w:rsidRPr="000A179B">
        <w:rPr>
          <w:rFonts w:asciiTheme="majorHAnsi" w:hAnsiTheme="majorHAnsi" w:cstheme="majorHAnsi"/>
          <w:sz w:val="22"/>
          <w:szCs w:val="22"/>
        </w:rPr>
        <w:t xml:space="preserve">and provide advice (see below, </w:t>
      </w:r>
      <w:r w:rsidRPr="000A179B">
        <w:rPr>
          <w:rFonts w:asciiTheme="majorHAnsi" w:hAnsiTheme="majorHAnsi" w:cstheme="majorHAnsi"/>
          <w:sz w:val="22"/>
          <w:szCs w:val="22"/>
        </w:rPr>
        <w:t xml:space="preserve">"Dissertation </w:t>
      </w:r>
      <w:r w:rsidR="00CC1365" w:rsidRPr="000A179B">
        <w:rPr>
          <w:rFonts w:asciiTheme="majorHAnsi" w:hAnsiTheme="majorHAnsi" w:cstheme="majorHAnsi"/>
          <w:sz w:val="22"/>
          <w:szCs w:val="22"/>
        </w:rPr>
        <w:t>r</w:t>
      </w:r>
      <w:r w:rsidRPr="000A179B">
        <w:rPr>
          <w:rFonts w:asciiTheme="majorHAnsi" w:hAnsiTheme="majorHAnsi" w:cstheme="majorHAnsi"/>
          <w:sz w:val="22"/>
          <w:szCs w:val="22"/>
        </w:rPr>
        <w:t>esearch")</w:t>
      </w:r>
      <w:r w:rsidR="000A179B" w:rsidRPr="000A179B">
        <w:rPr>
          <w:rFonts w:asciiTheme="majorHAnsi" w:hAnsiTheme="majorHAnsi" w:cstheme="majorHAnsi"/>
          <w:sz w:val="22"/>
          <w:szCs w:val="22"/>
        </w:rPr>
        <w:t xml:space="preserve">. </w:t>
      </w:r>
      <w:r w:rsidR="00763533" w:rsidRPr="000A179B">
        <w:rPr>
          <w:rFonts w:asciiTheme="majorHAnsi" w:hAnsiTheme="majorHAnsi" w:cstheme="majorHAnsi"/>
          <w:sz w:val="22"/>
          <w:szCs w:val="22"/>
        </w:rPr>
        <w:t xml:space="preserve"> </w:t>
      </w:r>
      <w:r w:rsidR="000A179B" w:rsidRPr="000A179B">
        <w:rPr>
          <w:rFonts w:asciiTheme="majorHAnsi" w:hAnsiTheme="majorHAnsi" w:cstheme="majorHAnsi"/>
          <w:sz w:val="22"/>
          <w:szCs w:val="22"/>
        </w:rPr>
        <w:t>One of the two progress meetings each year can be via email exchanges, but the other must be in-person or via Zoom or equivalent online platform.</w:t>
      </w:r>
      <w:r w:rsidRPr="000A179B">
        <w:rPr>
          <w:rFonts w:asciiTheme="majorHAnsi" w:hAnsiTheme="majorHAnsi" w:cstheme="majorHAnsi"/>
          <w:sz w:val="22"/>
          <w:szCs w:val="22"/>
        </w:rPr>
        <w:t xml:space="preserve">  </w:t>
      </w:r>
      <w:r w:rsidR="00311705" w:rsidRPr="000A179B">
        <w:rPr>
          <w:rFonts w:asciiTheme="majorHAnsi" w:hAnsiTheme="majorHAnsi" w:cstheme="majorHAnsi"/>
          <w:sz w:val="22"/>
          <w:szCs w:val="22"/>
        </w:rPr>
        <w:t>G</w:t>
      </w:r>
      <w:r w:rsidRPr="000A179B">
        <w:rPr>
          <w:rFonts w:asciiTheme="majorHAnsi" w:hAnsiTheme="majorHAnsi" w:cstheme="majorHAnsi"/>
          <w:sz w:val="22"/>
          <w:szCs w:val="22"/>
        </w:rPr>
        <w:t xml:space="preserve">eneral advising by the T32 PI, Program Director and Graduate Program Committee continues throughout the student's/trainee's time in the program.  This advising occurs through regular meetings as well as ad hoc communications. </w:t>
      </w:r>
      <w:r w:rsidR="000A179B">
        <w:rPr>
          <w:rFonts w:asciiTheme="majorHAnsi" w:hAnsiTheme="majorHAnsi" w:cstheme="majorHAnsi"/>
          <w:sz w:val="22"/>
          <w:szCs w:val="22"/>
        </w:rPr>
        <w:t xml:space="preserve"> </w:t>
      </w:r>
      <w:r w:rsidRPr="000A179B">
        <w:rPr>
          <w:rFonts w:asciiTheme="majorHAnsi" w:hAnsiTheme="majorHAnsi" w:cstheme="majorHAnsi"/>
          <w:sz w:val="22"/>
          <w:szCs w:val="22"/>
        </w:rPr>
        <w:t xml:space="preserve">The Program Director may call a meeting if deemed necessary from information from the Thesis Committee, Thesis Advisor or </w:t>
      </w:r>
      <w:r w:rsidR="00557737" w:rsidRPr="000A179B">
        <w:rPr>
          <w:rFonts w:asciiTheme="majorHAnsi" w:hAnsiTheme="majorHAnsi" w:cstheme="majorHAnsi"/>
          <w:sz w:val="22"/>
          <w:szCs w:val="22"/>
        </w:rPr>
        <w:t>student/</w:t>
      </w:r>
      <w:r w:rsidRPr="000A179B">
        <w:rPr>
          <w:rFonts w:asciiTheme="majorHAnsi" w:hAnsiTheme="majorHAnsi" w:cstheme="majorHAnsi"/>
          <w:sz w:val="22"/>
          <w:szCs w:val="22"/>
        </w:rPr>
        <w:t>trainee.</w:t>
      </w:r>
    </w:p>
    <w:p w14:paraId="0472AC99" w14:textId="3E542ED1" w:rsidR="00AC245E" w:rsidRPr="00CC4885" w:rsidRDefault="00AC245E" w:rsidP="00976540">
      <w:pPr>
        <w:jc w:val="both"/>
        <w:rPr>
          <w:rFonts w:asciiTheme="majorHAnsi" w:hAnsiTheme="majorHAnsi" w:cstheme="majorHAnsi"/>
        </w:rPr>
      </w:pPr>
    </w:p>
    <w:p w14:paraId="3E94DB79" w14:textId="155587B3" w:rsidR="00AC245E" w:rsidRPr="000A179B" w:rsidRDefault="00AC245E" w:rsidP="0098330A">
      <w:pPr>
        <w:jc w:val="both"/>
        <w:rPr>
          <w:rFonts w:asciiTheme="majorHAnsi" w:hAnsiTheme="majorHAnsi" w:cstheme="majorHAnsi"/>
          <w:sz w:val="22"/>
          <w:szCs w:val="22"/>
        </w:rPr>
      </w:pPr>
      <w:r w:rsidRPr="000A179B">
        <w:rPr>
          <w:rFonts w:asciiTheme="majorHAnsi" w:hAnsiTheme="majorHAnsi" w:cstheme="majorHAnsi"/>
          <w:sz w:val="22"/>
          <w:szCs w:val="22"/>
        </w:rPr>
        <w:t xml:space="preserve">Brown now offers mentor training for our faculty trainers through </w:t>
      </w:r>
      <w:r w:rsidR="00086BE6" w:rsidRPr="000A179B">
        <w:rPr>
          <w:rFonts w:asciiTheme="majorHAnsi" w:hAnsiTheme="majorHAnsi" w:cstheme="majorHAnsi"/>
          <w:sz w:val="22"/>
          <w:szCs w:val="22"/>
        </w:rPr>
        <w:t>workshops</w:t>
      </w:r>
      <w:r w:rsidRPr="000A179B">
        <w:rPr>
          <w:rFonts w:asciiTheme="majorHAnsi" w:hAnsiTheme="majorHAnsi" w:cstheme="majorHAnsi"/>
          <w:sz w:val="22"/>
          <w:szCs w:val="22"/>
        </w:rPr>
        <w:t xml:space="preserve"> held by Advance-CTR (</w:t>
      </w:r>
      <w:hyperlink r:id="rId7" w:history="1">
        <w:r w:rsidR="00086BE6" w:rsidRPr="000A179B">
          <w:rPr>
            <w:rStyle w:val="Hyperlink"/>
            <w:rFonts w:asciiTheme="majorHAnsi" w:hAnsiTheme="majorHAnsi" w:cstheme="majorHAnsi"/>
            <w:sz w:val="22"/>
            <w:szCs w:val="22"/>
          </w:rPr>
          <w:t>https://www.brown.edu/initiatives/translational-research/mentoring-training-program</w:t>
        </w:r>
      </w:hyperlink>
      <w:r w:rsidRPr="000A179B">
        <w:rPr>
          <w:rFonts w:asciiTheme="majorHAnsi" w:hAnsiTheme="majorHAnsi" w:cstheme="majorHAnsi"/>
          <w:sz w:val="22"/>
          <w:szCs w:val="22"/>
        </w:rPr>
        <w:t xml:space="preserve">).  </w:t>
      </w:r>
      <w:r w:rsidR="000A179B" w:rsidRPr="000A179B">
        <w:rPr>
          <w:rFonts w:asciiTheme="majorHAnsi" w:hAnsiTheme="majorHAnsi" w:cstheme="majorHAnsi"/>
          <w:sz w:val="22"/>
          <w:szCs w:val="22"/>
        </w:rPr>
        <w:t>T</w:t>
      </w:r>
      <w:r w:rsidRPr="000A179B">
        <w:rPr>
          <w:rFonts w:asciiTheme="majorHAnsi" w:hAnsiTheme="majorHAnsi" w:cstheme="majorHAnsi"/>
          <w:sz w:val="22"/>
          <w:szCs w:val="22"/>
        </w:rPr>
        <w:t xml:space="preserve">his training </w:t>
      </w:r>
      <w:r w:rsidR="000A179B" w:rsidRPr="000A179B">
        <w:rPr>
          <w:rFonts w:asciiTheme="majorHAnsi" w:hAnsiTheme="majorHAnsi" w:cstheme="majorHAnsi"/>
          <w:sz w:val="22"/>
          <w:szCs w:val="22"/>
        </w:rPr>
        <w:t>is now</w:t>
      </w:r>
      <w:r w:rsidRPr="000A179B">
        <w:rPr>
          <w:rFonts w:asciiTheme="majorHAnsi" w:hAnsiTheme="majorHAnsi" w:cstheme="majorHAnsi"/>
          <w:sz w:val="22"/>
          <w:szCs w:val="22"/>
        </w:rPr>
        <w:t xml:space="preserve"> required of all </w:t>
      </w:r>
      <w:r w:rsidR="000A179B" w:rsidRPr="000A179B">
        <w:rPr>
          <w:rFonts w:asciiTheme="majorHAnsi" w:hAnsiTheme="majorHAnsi" w:cstheme="majorHAnsi"/>
          <w:sz w:val="22"/>
          <w:szCs w:val="22"/>
        </w:rPr>
        <w:t>TSGP</w:t>
      </w:r>
      <w:r w:rsidRPr="000A179B">
        <w:rPr>
          <w:rFonts w:asciiTheme="majorHAnsi" w:hAnsiTheme="majorHAnsi" w:cstheme="majorHAnsi"/>
          <w:sz w:val="22"/>
          <w:szCs w:val="22"/>
        </w:rPr>
        <w:t xml:space="preserve"> trainers.</w:t>
      </w:r>
      <w:r w:rsidR="00086BE6" w:rsidRPr="000A179B">
        <w:rPr>
          <w:rFonts w:asciiTheme="majorHAnsi" w:hAnsiTheme="majorHAnsi" w:cstheme="majorHAnsi"/>
          <w:sz w:val="22"/>
          <w:szCs w:val="22"/>
        </w:rPr>
        <w:t xml:space="preserve">  We are currently developing a system for refresher courses to be provided a few years apart.</w:t>
      </w:r>
      <w:r w:rsidR="008B2C03" w:rsidRPr="000A179B">
        <w:rPr>
          <w:rFonts w:asciiTheme="majorHAnsi" w:hAnsiTheme="majorHAnsi" w:cstheme="majorHAnsi"/>
          <w:sz w:val="22"/>
          <w:szCs w:val="22"/>
        </w:rPr>
        <w:t xml:space="preserve">  Training of faculty in issues around diversity, equity and inclusion is provided by the Graduate School and </w:t>
      </w:r>
      <w:r w:rsidR="000A179B" w:rsidRPr="000A179B">
        <w:rPr>
          <w:rFonts w:asciiTheme="majorHAnsi" w:hAnsiTheme="majorHAnsi" w:cstheme="majorHAnsi"/>
          <w:sz w:val="22"/>
          <w:szCs w:val="22"/>
        </w:rPr>
        <w:t>is also</w:t>
      </w:r>
      <w:r w:rsidR="008B2C03" w:rsidRPr="000A179B">
        <w:rPr>
          <w:rFonts w:asciiTheme="majorHAnsi" w:hAnsiTheme="majorHAnsi" w:cstheme="majorHAnsi"/>
          <w:sz w:val="22"/>
          <w:szCs w:val="22"/>
        </w:rPr>
        <w:t xml:space="preserve"> required of our </w:t>
      </w:r>
      <w:r w:rsidR="000A179B" w:rsidRPr="000A179B">
        <w:rPr>
          <w:rFonts w:asciiTheme="majorHAnsi" w:hAnsiTheme="majorHAnsi" w:cstheme="majorHAnsi"/>
          <w:sz w:val="22"/>
          <w:szCs w:val="22"/>
        </w:rPr>
        <w:t>TSGP</w:t>
      </w:r>
      <w:r w:rsidR="00706BAE" w:rsidRPr="000A179B">
        <w:rPr>
          <w:rFonts w:asciiTheme="majorHAnsi" w:hAnsiTheme="majorHAnsi" w:cstheme="majorHAnsi"/>
          <w:sz w:val="22"/>
          <w:szCs w:val="22"/>
        </w:rPr>
        <w:t xml:space="preserve"> </w:t>
      </w:r>
      <w:r w:rsidR="008B2C03" w:rsidRPr="000A179B">
        <w:rPr>
          <w:rFonts w:asciiTheme="majorHAnsi" w:hAnsiTheme="majorHAnsi" w:cstheme="majorHAnsi"/>
          <w:sz w:val="22"/>
          <w:szCs w:val="22"/>
        </w:rPr>
        <w:t>trainers.</w:t>
      </w:r>
    </w:p>
    <w:p w14:paraId="59EB21DC" w14:textId="77777777" w:rsidR="00976540" w:rsidRPr="00CC4885" w:rsidRDefault="00976540" w:rsidP="0098330A">
      <w:pPr>
        <w:jc w:val="both"/>
        <w:rPr>
          <w:rFonts w:asciiTheme="majorHAnsi" w:hAnsiTheme="majorHAnsi" w:cstheme="majorHAnsi"/>
        </w:rPr>
      </w:pPr>
    </w:p>
    <w:p w14:paraId="0F30787A" w14:textId="4F29F65C" w:rsidR="00FA5107" w:rsidRPr="006575A7" w:rsidRDefault="00FA5107" w:rsidP="00FA5107">
      <w:pPr>
        <w:jc w:val="both"/>
        <w:rPr>
          <w:rFonts w:asciiTheme="majorHAnsi" w:hAnsiTheme="majorHAnsi" w:cstheme="majorHAnsi"/>
          <w:sz w:val="22"/>
          <w:szCs w:val="22"/>
        </w:rPr>
      </w:pPr>
      <w:r w:rsidRPr="006575A7">
        <w:rPr>
          <w:rFonts w:asciiTheme="majorHAnsi" w:hAnsiTheme="majorHAnsi" w:cstheme="majorHAnsi"/>
          <w:b/>
          <w:i/>
          <w:sz w:val="22"/>
          <w:szCs w:val="22"/>
          <w:u w:val="single"/>
        </w:rPr>
        <w:t>Individual Development Plan (IDP)</w:t>
      </w:r>
      <w:r w:rsidRPr="006575A7">
        <w:rPr>
          <w:rFonts w:asciiTheme="majorHAnsi" w:hAnsiTheme="majorHAnsi" w:cstheme="majorHAnsi"/>
          <w:sz w:val="22"/>
          <w:szCs w:val="22"/>
        </w:rPr>
        <w:t xml:space="preserve">.  The IDP is a document composed by the student, and later modified in collaboration with the Thesis Advisor, to describe the scientific and career interests and goals of the student, and also the expectations of the Thesis Advisor.  The initial IDP is developed in the first semester by each student as part of the RCR course offered by the Office of Graduate and Postdoctoral Studies.  After the Qualifying Exam, during the second year of the program, each student revises the IDP in collaboration with </w:t>
      </w:r>
      <w:r w:rsidR="006575A7" w:rsidRPr="006575A7">
        <w:rPr>
          <w:rFonts w:asciiTheme="majorHAnsi" w:hAnsiTheme="majorHAnsi" w:cstheme="majorHAnsi"/>
          <w:sz w:val="22"/>
          <w:szCs w:val="22"/>
        </w:rPr>
        <w:t>their</w:t>
      </w:r>
      <w:r w:rsidRPr="006575A7">
        <w:rPr>
          <w:rFonts w:asciiTheme="majorHAnsi" w:hAnsiTheme="majorHAnsi" w:cstheme="majorHAnsi"/>
          <w:sz w:val="22"/>
          <w:szCs w:val="22"/>
        </w:rPr>
        <w:t xml:space="preserve"> Thesis Advisor, making clear the expectations of both student and advisor.  An additional revision is made during the fourth year of the program.  Each version of the IDP is submitted to the Program Director for review</w:t>
      </w:r>
      <w:r w:rsidR="00B341F2" w:rsidRPr="006575A7">
        <w:rPr>
          <w:rFonts w:asciiTheme="majorHAnsi" w:hAnsiTheme="majorHAnsi" w:cstheme="majorHAnsi"/>
          <w:sz w:val="22"/>
          <w:szCs w:val="22"/>
        </w:rPr>
        <w:t>, with a copy to the Graduate Program Coordinator for the student's file</w:t>
      </w:r>
      <w:r w:rsidRPr="006575A7">
        <w:rPr>
          <w:rFonts w:asciiTheme="majorHAnsi" w:hAnsiTheme="majorHAnsi" w:cstheme="majorHAnsi"/>
          <w:sz w:val="22"/>
          <w:szCs w:val="22"/>
        </w:rPr>
        <w:t xml:space="preserve">. </w:t>
      </w:r>
    </w:p>
    <w:p w14:paraId="518AA63A" w14:textId="77777777" w:rsidR="00FA5107" w:rsidRPr="00CC4885" w:rsidRDefault="00FA5107" w:rsidP="00FA5107">
      <w:pPr>
        <w:jc w:val="both"/>
        <w:rPr>
          <w:rFonts w:asciiTheme="majorHAnsi" w:hAnsiTheme="majorHAnsi" w:cstheme="majorHAnsi"/>
        </w:rPr>
      </w:pPr>
    </w:p>
    <w:p w14:paraId="7D29C86C" w14:textId="00475001" w:rsidR="00B5050D" w:rsidRPr="0098330A" w:rsidRDefault="00976540" w:rsidP="00B5050D">
      <w:pPr>
        <w:jc w:val="both"/>
        <w:rPr>
          <w:rFonts w:asciiTheme="majorHAnsi" w:hAnsiTheme="majorHAnsi" w:cstheme="majorHAnsi"/>
          <w:sz w:val="22"/>
          <w:szCs w:val="22"/>
        </w:rPr>
      </w:pPr>
      <w:r w:rsidRPr="0098330A">
        <w:rPr>
          <w:rFonts w:asciiTheme="majorHAnsi" w:hAnsiTheme="majorHAnsi" w:cstheme="majorHAnsi"/>
          <w:b/>
          <w:i/>
          <w:sz w:val="22"/>
          <w:szCs w:val="22"/>
          <w:u w:val="single"/>
        </w:rPr>
        <w:t>Peer-to-peer advising</w:t>
      </w:r>
      <w:r w:rsidRPr="0098330A">
        <w:rPr>
          <w:rFonts w:asciiTheme="majorHAnsi" w:hAnsiTheme="majorHAnsi" w:cstheme="majorHAnsi"/>
          <w:sz w:val="22"/>
          <w:szCs w:val="22"/>
        </w:rPr>
        <w:t xml:space="preserve">.  </w:t>
      </w:r>
      <w:r w:rsidR="006575A7" w:rsidRPr="0098330A">
        <w:rPr>
          <w:rFonts w:asciiTheme="majorHAnsi" w:hAnsiTheme="majorHAnsi" w:cstheme="majorHAnsi"/>
          <w:sz w:val="22"/>
          <w:szCs w:val="22"/>
        </w:rPr>
        <w:t>Our</w:t>
      </w:r>
      <w:r w:rsidRPr="0098330A">
        <w:rPr>
          <w:rFonts w:asciiTheme="majorHAnsi" w:hAnsiTheme="majorHAnsi" w:cstheme="majorHAnsi"/>
          <w:sz w:val="22"/>
          <w:szCs w:val="22"/>
        </w:rPr>
        <w:t xml:space="preserve"> students have developed a program of peer-to-peer mentoring that is very effective.  Aside from frequent informal discussions, they have established a system (usually involving getting together </w:t>
      </w:r>
      <w:r w:rsidR="006575A7" w:rsidRPr="0098330A">
        <w:rPr>
          <w:rFonts w:asciiTheme="majorHAnsi" w:hAnsiTheme="majorHAnsi" w:cstheme="majorHAnsi"/>
          <w:sz w:val="22"/>
          <w:szCs w:val="22"/>
        </w:rPr>
        <w:t>for</w:t>
      </w:r>
      <w:r w:rsidRPr="0098330A">
        <w:rPr>
          <w:rFonts w:asciiTheme="majorHAnsi" w:hAnsiTheme="majorHAnsi" w:cstheme="majorHAnsi"/>
          <w:sz w:val="22"/>
          <w:szCs w:val="22"/>
        </w:rPr>
        <w:t xml:space="preserve"> lunch or dinner) in which 2nd year students advise 1st year students (especially about rotations), 3rd year students advise 2nd year students (especially about the Qualifying Exam), and local graduates </w:t>
      </w:r>
      <w:r w:rsidR="00B5050D" w:rsidRPr="0098330A">
        <w:rPr>
          <w:rFonts w:asciiTheme="majorHAnsi" w:hAnsiTheme="majorHAnsi" w:cstheme="majorHAnsi"/>
          <w:sz w:val="22"/>
          <w:szCs w:val="22"/>
        </w:rPr>
        <w:t xml:space="preserve">(e.g., from MIT, Harvard, Yale, etc.) </w:t>
      </w:r>
      <w:r w:rsidRPr="0098330A">
        <w:rPr>
          <w:rFonts w:asciiTheme="majorHAnsi" w:hAnsiTheme="majorHAnsi" w:cstheme="majorHAnsi"/>
          <w:sz w:val="22"/>
          <w:szCs w:val="22"/>
        </w:rPr>
        <w:t>advise 3rd-5th year students about thesis writing, the defense and career development after graduation.</w:t>
      </w:r>
      <w:r w:rsidR="00D251FC" w:rsidRPr="0098330A">
        <w:rPr>
          <w:rFonts w:asciiTheme="majorHAnsi" w:hAnsiTheme="majorHAnsi" w:cstheme="majorHAnsi"/>
          <w:sz w:val="22"/>
          <w:szCs w:val="22"/>
        </w:rPr>
        <w:t xml:space="preserve"> </w:t>
      </w:r>
      <w:r w:rsidR="00B5050D" w:rsidRPr="0098330A">
        <w:rPr>
          <w:rFonts w:asciiTheme="majorHAnsi" w:hAnsiTheme="majorHAnsi" w:cstheme="majorHAnsi"/>
          <w:sz w:val="22"/>
          <w:szCs w:val="22"/>
        </w:rPr>
        <w:t xml:space="preserve">These mentoring interactions are facilitated by our </w:t>
      </w:r>
      <w:r w:rsidR="006575A7" w:rsidRPr="0098330A">
        <w:rPr>
          <w:rFonts w:asciiTheme="majorHAnsi" w:hAnsiTheme="majorHAnsi" w:cstheme="majorHAnsi"/>
          <w:sz w:val="22"/>
          <w:szCs w:val="22"/>
        </w:rPr>
        <w:t>Curriculum Director</w:t>
      </w:r>
      <w:r w:rsidR="00B5050D" w:rsidRPr="0098330A">
        <w:rPr>
          <w:rFonts w:asciiTheme="majorHAnsi" w:hAnsiTheme="majorHAnsi" w:cstheme="majorHAnsi"/>
          <w:sz w:val="22"/>
          <w:szCs w:val="22"/>
        </w:rPr>
        <w:t xml:space="preserve">, </w:t>
      </w:r>
      <w:r w:rsidR="006575A7" w:rsidRPr="0098330A">
        <w:rPr>
          <w:rFonts w:asciiTheme="majorHAnsi" w:hAnsiTheme="majorHAnsi" w:cstheme="majorHAnsi"/>
          <w:sz w:val="22"/>
          <w:szCs w:val="22"/>
        </w:rPr>
        <w:t>who</w:t>
      </w:r>
      <w:r w:rsidR="00B5050D" w:rsidRPr="0098330A">
        <w:rPr>
          <w:rFonts w:asciiTheme="majorHAnsi" w:hAnsiTheme="majorHAnsi" w:cstheme="majorHAnsi"/>
          <w:sz w:val="22"/>
          <w:szCs w:val="22"/>
        </w:rPr>
        <w:t xml:space="preserve"> often provides organized lunch sessions for the students and alum</w:t>
      </w:r>
      <w:r w:rsidR="006575A7" w:rsidRPr="0098330A">
        <w:rPr>
          <w:rFonts w:asciiTheme="majorHAnsi" w:hAnsiTheme="majorHAnsi" w:cstheme="majorHAnsi"/>
          <w:sz w:val="22"/>
          <w:szCs w:val="22"/>
        </w:rPr>
        <w:t>ni(ae)</w:t>
      </w:r>
      <w:r w:rsidR="00CF4DD5" w:rsidRPr="0098330A">
        <w:rPr>
          <w:rFonts w:asciiTheme="majorHAnsi" w:hAnsiTheme="majorHAnsi" w:cstheme="majorHAnsi"/>
          <w:sz w:val="22"/>
          <w:szCs w:val="22"/>
        </w:rPr>
        <w:t>, as well as formal career panels</w:t>
      </w:r>
      <w:r w:rsidR="00B5050D" w:rsidRPr="0098330A">
        <w:rPr>
          <w:rFonts w:asciiTheme="majorHAnsi" w:hAnsiTheme="majorHAnsi" w:cstheme="majorHAnsi"/>
          <w:sz w:val="22"/>
          <w:szCs w:val="22"/>
        </w:rPr>
        <w:t xml:space="preserve">.  Trainees who have obtained </w:t>
      </w:r>
      <w:r w:rsidR="006575A7" w:rsidRPr="0098330A">
        <w:rPr>
          <w:rFonts w:asciiTheme="majorHAnsi" w:hAnsiTheme="majorHAnsi" w:cstheme="majorHAnsi"/>
          <w:sz w:val="22"/>
          <w:szCs w:val="22"/>
        </w:rPr>
        <w:t xml:space="preserve">external </w:t>
      </w:r>
      <w:r w:rsidR="00B5050D" w:rsidRPr="0098330A">
        <w:rPr>
          <w:rFonts w:asciiTheme="majorHAnsi" w:hAnsiTheme="majorHAnsi" w:cstheme="majorHAnsi"/>
          <w:sz w:val="22"/>
          <w:szCs w:val="22"/>
        </w:rPr>
        <w:t xml:space="preserve">fellowships also meet with, and advise, those who are preparing applications; this interaction </w:t>
      </w:r>
      <w:r w:rsidR="00751679" w:rsidRPr="0098330A">
        <w:rPr>
          <w:rFonts w:asciiTheme="majorHAnsi" w:hAnsiTheme="majorHAnsi" w:cstheme="majorHAnsi"/>
          <w:sz w:val="22"/>
          <w:szCs w:val="22"/>
        </w:rPr>
        <w:t>may</w:t>
      </w:r>
      <w:r w:rsidR="00B5050D" w:rsidRPr="0098330A">
        <w:rPr>
          <w:rFonts w:asciiTheme="majorHAnsi" w:hAnsiTheme="majorHAnsi" w:cstheme="majorHAnsi"/>
          <w:sz w:val="22"/>
          <w:szCs w:val="22"/>
        </w:rPr>
        <w:t xml:space="preserve"> take</w:t>
      </w:r>
      <w:r w:rsidR="00751679" w:rsidRPr="0098330A">
        <w:rPr>
          <w:rFonts w:asciiTheme="majorHAnsi" w:hAnsiTheme="majorHAnsi" w:cstheme="majorHAnsi"/>
          <w:sz w:val="22"/>
          <w:szCs w:val="22"/>
        </w:rPr>
        <w:t xml:space="preserve"> </w:t>
      </w:r>
      <w:r w:rsidR="00B5050D" w:rsidRPr="0098330A">
        <w:rPr>
          <w:rFonts w:asciiTheme="majorHAnsi" w:hAnsiTheme="majorHAnsi" w:cstheme="majorHAnsi"/>
          <w:sz w:val="22"/>
          <w:szCs w:val="22"/>
        </w:rPr>
        <w:t xml:space="preserve">place as part of </w:t>
      </w:r>
      <w:r w:rsidR="006575A7" w:rsidRPr="0098330A">
        <w:rPr>
          <w:rFonts w:asciiTheme="majorHAnsi" w:hAnsiTheme="majorHAnsi" w:cstheme="majorHAnsi"/>
          <w:sz w:val="22"/>
          <w:szCs w:val="22"/>
        </w:rPr>
        <w:t>the monthly TSGP meetings</w:t>
      </w:r>
      <w:r w:rsidR="00751679" w:rsidRPr="0098330A">
        <w:rPr>
          <w:rFonts w:asciiTheme="majorHAnsi" w:hAnsiTheme="majorHAnsi" w:cstheme="majorHAnsi"/>
          <w:sz w:val="22"/>
          <w:szCs w:val="22"/>
        </w:rPr>
        <w:t xml:space="preserve"> or as </w:t>
      </w:r>
      <w:r w:rsidR="00751679" w:rsidRPr="0098330A">
        <w:rPr>
          <w:rFonts w:asciiTheme="majorHAnsi" w:hAnsiTheme="majorHAnsi" w:cstheme="majorHAnsi"/>
          <w:i/>
          <w:iCs/>
          <w:sz w:val="22"/>
          <w:szCs w:val="22"/>
        </w:rPr>
        <w:t>ad hoc</w:t>
      </w:r>
      <w:r w:rsidR="00751679" w:rsidRPr="0098330A">
        <w:rPr>
          <w:rFonts w:asciiTheme="majorHAnsi" w:hAnsiTheme="majorHAnsi" w:cstheme="majorHAnsi"/>
          <w:sz w:val="22"/>
          <w:szCs w:val="22"/>
        </w:rPr>
        <w:t xml:space="preserve"> meetings</w:t>
      </w:r>
      <w:r w:rsidR="00B5050D" w:rsidRPr="0098330A">
        <w:rPr>
          <w:rFonts w:asciiTheme="majorHAnsi" w:hAnsiTheme="majorHAnsi" w:cstheme="majorHAnsi"/>
          <w:sz w:val="22"/>
          <w:szCs w:val="22"/>
        </w:rPr>
        <w:t>.  In addition, extensive peer-to-peer advising takes place at other venues for student interactions (see</w:t>
      </w:r>
      <w:r w:rsidR="00D27E3C" w:rsidRPr="0098330A">
        <w:rPr>
          <w:rFonts w:asciiTheme="majorHAnsi" w:hAnsiTheme="majorHAnsi" w:cstheme="majorHAnsi"/>
          <w:sz w:val="22"/>
          <w:szCs w:val="22"/>
        </w:rPr>
        <w:t xml:space="preserve"> below,</w:t>
      </w:r>
      <w:r w:rsidR="00B5050D" w:rsidRPr="0098330A">
        <w:rPr>
          <w:rFonts w:asciiTheme="majorHAnsi" w:hAnsiTheme="majorHAnsi" w:cstheme="majorHAnsi"/>
          <w:sz w:val="22"/>
          <w:szCs w:val="22"/>
        </w:rPr>
        <w:t xml:space="preserve"> </w:t>
      </w:r>
      <w:proofErr w:type="spellStart"/>
      <w:r w:rsidR="00D27E3C" w:rsidRPr="0098330A">
        <w:rPr>
          <w:rFonts w:asciiTheme="majorHAnsi" w:hAnsiTheme="majorHAnsi" w:cstheme="majorHAnsi"/>
          <w:b/>
          <w:color w:val="000000"/>
          <w:sz w:val="22"/>
          <w:szCs w:val="22"/>
          <w:lang w:val="sv-SE"/>
        </w:rPr>
        <w:t>Additional</w:t>
      </w:r>
      <w:proofErr w:type="spellEnd"/>
      <w:r w:rsidR="00D27E3C" w:rsidRPr="0098330A">
        <w:rPr>
          <w:rFonts w:asciiTheme="majorHAnsi" w:hAnsiTheme="majorHAnsi" w:cstheme="majorHAnsi"/>
          <w:b/>
          <w:color w:val="000000"/>
          <w:sz w:val="22"/>
          <w:szCs w:val="22"/>
          <w:lang w:val="sv-SE"/>
        </w:rPr>
        <w:t xml:space="preserve"> </w:t>
      </w:r>
      <w:proofErr w:type="spellStart"/>
      <w:r w:rsidR="00D27E3C" w:rsidRPr="0098330A">
        <w:rPr>
          <w:rFonts w:asciiTheme="majorHAnsi" w:hAnsiTheme="majorHAnsi" w:cstheme="majorHAnsi"/>
          <w:b/>
          <w:color w:val="000000"/>
          <w:sz w:val="22"/>
          <w:szCs w:val="22"/>
          <w:lang w:val="sv-SE"/>
        </w:rPr>
        <w:t>Training</w:t>
      </w:r>
      <w:proofErr w:type="spellEnd"/>
      <w:r w:rsidR="00D27E3C" w:rsidRPr="0098330A">
        <w:rPr>
          <w:rFonts w:asciiTheme="majorHAnsi" w:hAnsiTheme="majorHAnsi" w:cstheme="majorHAnsi"/>
          <w:b/>
          <w:color w:val="000000"/>
          <w:sz w:val="22"/>
          <w:szCs w:val="22"/>
          <w:lang w:val="sv-SE"/>
        </w:rPr>
        <w:t xml:space="preserve"> and </w:t>
      </w:r>
      <w:proofErr w:type="spellStart"/>
      <w:r w:rsidR="00D27E3C" w:rsidRPr="0098330A">
        <w:rPr>
          <w:rFonts w:asciiTheme="majorHAnsi" w:hAnsiTheme="majorHAnsi" w:cstheme="majorHAnsi"/>
          <w:b/>
          <w:color w:val="000000"/>
          <w:sz w:val="22"/>
          <w:szCs w:val="22"/>
          <w:lang w:val="sv-SE"/>
        </w:rPr>
        <w:t>Scientific</w:t>
      </w:r>
      <w:proofErr w:type="spellEnd"/>
      <w:r w:rsidR="00D27E3C" w:rsidRPr="0098330A">
        <w:rPr>
          <w:rFonts w:asciiTheme="majorHAnsi" w:hAnsiTheme="majorHAnsi" w:cstheme="majorHAnsi"/>
          <w:b/>
          <w:color w:val="000000"/>
          <w:sz w:val="22"/>
          <w:szCs w:val="22"/>
          <w:lang w:val="sv-SE"/>
        </w:rPr>
        <w:t xml:space="preserve"> </w:t>
      </w:r>
      <w:proofErr w:type="spellStart"/>
      <w:r w:rsidR="00D27E3C" w:rsidRPr="0098330A">
        <w:rPr>
          <w:rFonts w:asciiTheme="majorHAnsi" w:hAnsiTheme="majorHAnsi" w:cstheme="majorHAnsi"/>
          <w:b/>
          <w:color w:val="000000"/>
          <w:sz w:val="22"/>
          <w:szCs w:val="22"/>
          <w:lang w:val="sv-SE"/>
        </w:rPr>
        <w:t>Interactions</w:t>
      </w:r>
      <w:proofErr w:type="spellEnd"/>
      <w:r w:rsidR="00B5050D" w:rsidRPr="0098330A">
        <w:rPr>
          <w:rFonts w:asciiTheme="majorHAnsi" w:hAnsiTheme="majorHAnsi" w:cstheme="majorHAnsi"/>
          <w:sz w:val="22"/>
          <w:szCs w:val="22"/>
        </w:rPr>
        <w:t xml:space="preserve">).  </w:t>
      </w:r>
    </w:p>
    <w:p w14:paraId="650FBD18" w14:textId="77777777" w:rsidR="00976540" w:rsidRPr="00AB6B77" w:rsidRDefault="00976540" w:rsidP="00976540">
      <w:pPr>
        <w:jc w:val="both"/>
        <w:rPr>
          <w:rFonts w:asciiTheme="majorHAnsi" w:hAnsiTheme="majorHAnsi" w:cstheme="majorHAnsi"/>
          <w:sz w:val="22"/>
          <w:szCs w:val="22"/>
        </w:rPr>
      </w:pPr>
    </w:p>
    <w:p w14:paraId="27D630EA" w14:textId="139A43B0" w:rsidR="00976540" w:rsidRPr="0098330A" w:rsidRDefault="00976540" w:rsidP="00976540">
      <w:pPr>
        <w:jc w:val="both"/>
        <w:rPr>
          <w:rFonts w:asciiTheme="majorHAnsi" w:hAnsiTheme="majorHAnsi" w:cstheme="majorHAnsi"/>
          <w:sz w:val="22"/>
          <w:szCs w:val="22"/>
        </w:rPr>
      </w:pPr>
      <w:r w:rsidRPr="0098330A">
        <w:rPr>
          <w:rFonts w:asciiTheme="majorHAnsi" w:hAnsiTheme="majorHAnsi" w:cstheme="majorHAnsi"/>
          <w:b/>
          <w:i/>
          <w:sz w:val="22"/>
          <w:szCs w:val="22"/>
          <w:u w:val="single"/>
        </w:rPr>
        <w:t>Other advising and mentoring</w:t>
      </w:r>
      <w:r w:rsidRPr="0098330A">
        <w:rPr>
          <w:rFonts w:asciiTheme="majorHAnsi" w:hAnsiTheme="majorHAnsi" w:cstheme="majorHAnsi"/>
          <w:sz w:val="22"/>
          <w:szCs w:val="22"/>
        </w:rPr>
        <w:t xml:space="preserve">.  Students often form very useful informal mentoring relationships with various </w:t>
      </w:r>
      <w:r w:rsidR="00D251FC" w:rsidRPr="0098330A">
        <w:rPr>
          <w:rFonts w:asciiTheme="majorHAnsi" w:hAnsiTheme="majorHAnsi" w:cstheme="majorHAnsi"/>
          <w:sz w:val="22"/>
          <w:szCs w:val="22"/>
        </w:rPr>
        <w:t xml:space="preserve">faculty </w:t>
      </w:r>
      <w:r w:rsidRPr="0098330A">
        <w:rPr>
          <w:rFonts w:asciiTheme="majorHAnsi" w:hAnsiTheme="majorHAnsi" w:cstheme="majorHAnsi"/>
          <w:sz w:val="22"/>
          <w:szCs w:val="22"/>
        </w:rPr>
        <w:t>trainers</w:t>
      </w:r>
      <w:r w:rsidR="00D251FC" w:rsidRPr="0098330A">
        <w:rPr>
          <w:rFonts w:asciiTheme="majorHAnsi" w:hAnsiTheme="majorHAnsi" w:cstheme="majorHAnsi"/>
          <w:sz w:val="22"/>
          <w:szCs w:val="22"/>
        </w:rPr>
        <w:t xml:space="preserve"> (including T32 trainers)</w:t>
      </w:r>
      <w:r w:rsidRPr="0098330A">
        <w:rPr>
          <w:rFonts w:asciiTheme="majorHAnsi" w:hAnsiTheme="majorHAnsi" w:cstheme="majorHAnsi"/>
          <w:sz w:val="22"/>
          <w:szCs w:val="22"/>
        </w:rPr>
        <w:t xml:space="preserve">.  In addition, mentoring is also available from the Office of Graduate and Postdoctoral Studies, and through IMSD </w:t>
      </w:r>
      <w:r w:rsidR="008E4046" w:rsidRPr="0098330A">
        <w:rPr>
          <w:rFonts w:asciiTheme="majorHAnsi" w:hAnsiTheme="majorHAnsi" w:cstheme="majorHAnsi"/>
          <w:sz w:val="22"/>
          <w:szCs w:val="22"/>
        </w:rPr>
        <w:t xml:space="preserve">training modules </w:t>
      </w:r>
      <w:r w:rsidR="00AC245E" w:rsidRPr="0098330A">
        <w:rPr>
          <w:rFonts w:asciiTheme="majorHAnsi" w:hAnsiTheme="majorHAnsi" w:cstheme="majorHAnsi"/>
          <w:sz w:val="22"/>
          <w:szCs w:val="22"/>
        </w:rPr>
        <w:t xml:space="preserve">and </w:t>
      </w:r>
      <w:r w:rsidR="008E4046" w:rsidRPr="0098330A">
        <w:rPr>
          <w:rFonts w:asciiTheme="majorHAnsi" w:hAnsiTheme="majorHAnsi" w:cstheme="majorHAnsi"/>
          <w:sz w:val="22"/>
          <w:szCs w:val="22"/>
        </w:rPr>
        <w:t xml:space="preserve">other </w:t>
      </w:r>
      <w:r w:rsidRPr="0098330A">
        <w:rPr>
          <w:rFonts w:asciiTheme="majorHAnsi" w:hAnsiTheme="majorHAnsi" w:cstheme="majorHAnsi"/>
          <w:sz w:val="22"/>
          <w:szCs w:val="22"/>
        </w:rPr>
        <w:t xml:space="preserve">activities.  Brown's </w:t>
      </w:r>
      <w:proofErr w:type="spellStart"/>
      <w:r w:rsidRPr="0098330A">
        <w:rPr>
          <w:rFonts w:asciiTheme="majorHAnsi" w:hAnsiTheme="majorHAnsi" w:cstheme="majorHAnsi"/>
          <w:sz w:val="22"/>
          <w:szCs w:val="22"/>
        </w:rPr>
        <w:t>C</w:t>
      </w:r>
      <w:r w:rsidR="00D251FC" w:rsidRPr="0098330A">
        <w:rPr>
          <w:rFonts w:asciiTheme="majorHAnsi" w:hAnsiTheme="majorHAnsi" w:cstheme="majorHAnsi"/>
          <w:sz w:val="22"/>
          <w:szCs w:val="22"/>
        </w:rPr>
        <w:t>areerLab</w:t>
      </w:r>
      <w:proofErr w:type="spellEnd"/>
      <w:r w:rsidRPr="0098330A">
        <w:rPr>
          <w:rFonts w:asciiTheme="majorHAnsi" w:hAnsiTheme="majorHAnsi" w:cstheme="majorHAnsi"/>
          <w:sz w:val="22"/>
          <w:szCs w:val="22"/>
        </w:rPr>
        <w:t xml:space="preserve"> also provides career advising</w:t>
      </w:r>
      <w:r w:rsidR="00B7764A" w:rsidRPr="0098330A">
        <w:rPr>
          <w:rFonts w:asciiTheme="majorHAnsi" w:hAnsiTheme="majorHAnsi" w:cstheme="majorHAnsi"/>
          <w:sz w:val="22"/>
          <w:szCs w:val="22"/>
        </w:rPr>
        <w:t>, and the Sheridan Center provides advising about teaching</w:t>
      </w:r>
      <w:r w:rsidRPr="0098330A">
        <w:rPr>
          <w:rFonts w:asciiTheme="majorHAnsi" w:hAnsiTheme="majorHAnsi" w:cstheme="majorHAnsi"/>
          <w:sz w:val="22"/>
          <w:szCs w:val="22"/>
        </w:rPr>
        <w:t>.</w:t>
      </w:r>
    </w:p>
    <w:p w14:paraId="744C2FA2" w14:textId="77777777" w:rsidR="00BA0F45" w:rsidRPr="00AB6B77" w:rsidRDefault="00BA0F45" w:rsidP="00BF4129">
      <w:pPr>
        <w:jc w:val="both"/>
        <w:rPr>
          <w:rFonts w:asciiTheme="majorHAnsi" w:hAnsiTheme="majorHAnsi" w:cstheme="majorHAnsi"/>
          <w:color w:val="000000"/>
          <w:sz w:val="22"/>
          <w:szCs w:val="22"/>
        </w:rPr>
      </w:pPr>
    </w:p>
    <w:p w14:paraId="73AD7ECB" w14:textId="6E50AA96" w:rsidR="0004797E" w:rsidRPr="0098330A" w:rsidRDefault="0004797E" w:rsidP="0098330A">
      <w:pPr>
        <w:widowControl w:val="0"/>
        <w:autoSpaceDE w:val="0"/>
        <w:autoSpaceDN w:val="0"/>
        <w:adjustRightInd w:val="0"/>
        <w:spacing w:after="240"/>
        <w:jc w:val="both"/>
        <w:rPr>
          <w:rFonts w:asciiTheme="majorHAnsi" w:hAnsiTheme="majorHAnsi" w:cstheme="majorHAnsi"/>
          <w:b/>
          <w:color w:val="000000"/>
          <w:sz w:val="22"/>
          <w:szCs w:val="22"/>
          <w:u w:val="thick"/>
        </w:rPr>
      </w:pPr>
      <w:r w:rsidRPr="0098330A">
        <w:rPr>
          <w:rFonts w:asciiTheme="majorHAnsi" w:hAnsiTheme="majorHAnsi" w:cstheme="majorHAnsi"/>
          <w:b/>
          <w:i/>
          <w:color w:val="000000"/>
          <w:sz w:val="22"/>
          <w:szCs w:val="22"/>
          <w:u w:val="thick"/>
        </w:rPr>
        <w:t xml:space="preserve">Resources for </w:t>
      </w:r>
      <w:r w:rsidR="00584821" w:rsidRPr="0098330A">
        <w:rPr>
          <w:rFonts w:asciiTheme="majorHAnsi" w:hAnsiTheme="majorHAnsi" w:cstheme="majorHAnsi"/>
          <w:b/>
          <w:i/>
          <w:color w:val="000000"/>
          <w:sz w:val="22"/>
          <w:szCs w:val="22"/>
          <w:u w:val="thick"/>
        </w:rPr>
        <w:t>student</w:t>
      </w:r>
      <w:r w:rsidRPr="0098330A">
        <w:rPr>
          <w:rFonts w:asciiTheme="majorHAnsi" w:hAnsiTheme="majorHAnsi" w:cstheme="majorHAnsi"/>
          <w:b/>
          <w:i/>
          <w:color w:val="000000"/>
          <w:sz w:val="22"/>
          <w:szCs w:val="22"/>
          <w:u w:val="thick"/>
        </w:rPr>
        <w:t xml:space="preserve"> support, including diversity</w:t>
      </w:r>
      <w:r w:rsidR="00A07D88" w:rsidRPr="0098330A">
        <w:rPr>
          <w:rFonts w:asciiTheme="majorHAnsi" w:hAnsiTheme="majorHAnsi" w:cstheme="majorHAnsi"/>
          <w:b/>
          <w:i/>
          <w:color w:val="000000"/>
          <w:sz w:val="22"/>
          <w:szCs w:val="22"/>
          <w:u w:val="thick"/>
        </w:rPr>
        <w:t xml:space="preserve"> and wellness</w:t>
      </w:r>
      <w:r w:rsidRPr="0098330A">
        <w:rPr>
          <w:rFonts w:asciiTheme="majorHAnsi" w:hAnsiTheme="majorHAnsi" w:cstheme="majorHAnsi"/>
          <w:b/>
          <w:i/>
          <w:color w:val="000000"/>
          <w:sz w:val="22"/>
          <w:szCs w:val="22"/>
          <w:u w:val="thick"/>
        </w:rPr>
        <w:t xml:space="preserve"> resources</w:t>
      </w:r>
      <w:r w:rsidRPr="0098330A">
        <w:rPr>
          <w:rFonts w:asciiTheme="majorHAnsi" w:hAnsiTheme="majorHAnsi" w:cstheme="majorHAnsi"/>
          <w:b/>
          <w:color w:val="000000"/>
          <w:sz w:val="22"/>
          <w:szCs w:val="22"/>
          <w:u w:val="thick"/>
        </w:rPr>
        <w:t xml:space="preserve">.  </w:t>
      </w:r>
      <w:r w:rsidR="009414D3" w:rsidRPr="0098330A">
        <w:rPr>
          <w:rFonts w:asciiTheme="majorHAnsi" w:hAnsiTheme="majorHAnsi" w:cstheme="majorHAnsi"/>
          <w:color w:val="1A1813"/>
          <w:sz w:val="22"/>
          <w:szCs w:val="22"/>
        </w:rPr>
        <w:t xml:space="preserve">The </w:t>
      </w:r>
      <w:r w:rsidR="0098330A">
        <w:rPr>
          <w:rFonts w:asciiTheme="majorHAnsi" w:hAnsiTheme="majorHAnsi" w:cstheme="majorHAnsi"/>
          <w:color w:val="1A1813"/>
          <w:sz w:val="22"/>
          <w:szCs w:val="22"/>
        </w:rPr>
        <w:t>Therapeutic Sciences</w:t>
      </w:r>
      <w:r w:rsidR="009414D3" w:rsidRPr="0098330A">
        <w:rPr>
          <w:rFonts w:asciiTheme="majorHAnsi" w:hAnsiTheme="majorHAnsi" w:cstheme="majorHAnsi"/>
          <w:color w:val="1A1813"/>
          <w:sz w:val="22"/>
          <w:szCs w:val="22"/>
        </w:rPr>
        <w:t xml:space="preserve"> Graduate Program </w:t>
      </w:r>
      <w:r w:rsidR="00011C42" w:rsidRPr="0098330A">
        <w:rPr>
          <w:rFonts w:asciiTheme="majorHAnsi" w:hAnsiTheme="majorHAnsi" w:cstheme="majorHAnsi"/>
          <w:color w:val="1A1813"/>
          <w:sz w:val="22"/>
          <w:szCs w:val="22"/>
        </w:rPr>
        <w:t>D</w:t>
      </w:r>
      <w:r w:rsidR="009414D3" w:rsidRPr="0098330A">
        <w:rPr>
          <w:rFonts w:asciiTheme="majorHAnsi" w:hAnsiTheme="majorHAnsi" w:cstheme="majorHAnsi"/>
          <w:color w:val="1A1813"/>
          <w:sz w:val="22"/>
          <w:szCs w:val="22"/>
        </w:rPr>
        <w:t>irector should be informed of any</w:t>
      </w:r>
      <w:r w:rsidRPr="0098330A">
        <w:rPr>
          <w:rFonts w:asciiTheme="majorHAnsi" w:hAnsiTheme="majorHAnsi" w:cstheme="majorHAnsi"/>
          <w:color w:val="1A1813"/>
          <w:sz w:val="22"/>
          <w:szCs w:val="22"/>
        </w:rPr>
        <w:t xml:space="preserve"> disability or other condition that might require accommodation or modification of any of course procedures</w:t>
      </w:r>
      <w:r w:rsidR="00A07D88" w:rsidRPr="0098330A">
        <w:rPr>
          <w:rFonts w:asciiTheme="majorHAnsi" w:hAnsiTheme="majorHAnsi" w:cstheme="majorHAnsi"/>
          <w:color w:val="1A1813"/>
          <w:sz w:val="22"/>
          <w:szCs w:val="22"/>
        </w:rPr>
        <w:t xml:space="preserve"> or other graduate program requirements</w:t>
      </w:r>
      <w:r w:rsidRPr="0098330A">
        <w:rPr>
          <w:rFonts w:asciiTheme="majorHAnsi" w:hAnsiTheme="majorHAnsi" w:cstheme="majorHAnsi"/>
          <w:color w:val="1A1813"/>
          <w:sz w:val="22"/>
          <w:szCs w:val="22"/>
        </w:rPr>
        <w:t xml:space="preserve">. </w:t>
      </w:r>
      <w:r w:rsidR="009414D3" w:rsidRPr="0098330A">
        <w:rPr>
          <w:rFonts w:asciiTheme="majorHAnsi" w:hAnsiTheme="majorHAnsi" w:cstheme="majorHAnsi"/>
          <w:color w:val="1A1813"/>
          <w:sz w:val="22"/>
          <w:szCs w:val="22"/>
        </w:rPr>
        <w:t xml:space="preserve"> Students with this concern</w:t>
      </w:r>
      <w:r w:rsidRPr="0098330A">
        <w:rPr>
          <w:rFonts w:asciiTheme="majorHAnsi" w:hAnsiTheme="majorHAnsi" w:cstheme="majorHAnsi"/>
          <w:color w:val="1A1813"/>
          <w:sz w:val="22"/>
          <w:szCs w:val="22"/>
        </w:rPr>
        <w:t xml:space="preserve"> should </w:t>
      </w:r>
      <w:r w:rsidR="009414D3" w:rsidRPr="0098330A">
        <w:rPr>
          <w:rFonts w:asciiTheme="majorHAnsi" w:hAnsiTheme="majorHAnsi" w:cstheme="majorHAnsi"/>
          <w:color w:val="1A1813"/>
          <w:sz w:val="22"/>
          <w:szCs w:val="22"/>
        </w:rPr>
        <w:t>register</w:t>
      </w:r>
      <w:r w:rsidRPr="0098330A">
        <w:rPr>
          <w:rFonts w:asciiTheme="majorHAnsi" w:hAnsiTheme="majorHAnsi" w:cstheme="majorHAnsi"/>
          <w:color w:val="1A1813"/>
          <w:sz w:val="22"/>
          <w:szCs w:val="22"/>
        </w:rPr>
        <w:t xml:space="preserve"> with </w:t>
      </w:r>
      <w:r w:rsidRPr="0098330A">
        <w:rPr>
          <w:rFonts w:asciiTheme="majorHAnsi" w:hAnsiTheme="majorHAnsi" w:cstheme="majorHAnsi"/>
          <w:b/>
          <w:color w:val="1A1813"/>
          <w:sz w:val="22"/>
          <w:szCs w:val="22"/>
        </w:rPr>
        <w:t>Student and Employee Accessibility Services (SEAS)</w:t>
      </w:r>
      <w:r w:rsidRPr="0098330A">
        <w:rPr>
          <w:rFonts w:asciiTheme="majorHAnsi" w:hAnsiTheme="majorHAnsi" w:cstheme="majorHAnsi"/>
          <w:color w:val="1A1813"/>
          <w:sz w:val="22"/>
          <w:szCs w:val="22"/>
        </w:rPr>
        <w:t xml:space="preserve"> and provide </w:t>
      </w:r>
      <w:r w:rsidR="009414D3" w:rsidRPr="0098330A">
        <w:rPr>
          <w:rFonts w:asciiTheme="majorHAnsi" w:hAnsiTheme="majorHAnsi" w:cstheme="majorHAnsi"/>
          <w:color w:val="1A1813"/>
          <w:sz w:val="22"/>
          <w:szCs w:val="22"/>
        </w:rPr>
        <w:t xml:space="preserve">the </w:t>
      </w:r>
      <w:r w:rsidR="007A6998" w:rsidRPr="0098330A">
        <w:rPr>
          <w:rFonts w:asciiTheme="majorHAnsi" w:hAnsiTheme="majorHAnsi" w:cstheme="majorHAnsi"/>
          <w:sz w:val="22"/>
          <w:szCs w:val="22"/>
        </w:rPr>
        <w:t>Graduate Program</w:t>
      </w:r>
      <w:r w:rsidR="007A6998" w:rsidRPr="0098330A">
        <w:rPr>
          <w:rFonts w:asciiTheme="majorHAnsi" w:hAnsiTheme="majorHAnsi" w:cstheme="majorHAnsi"/>
          <w:i/>
          <w:iCs/>
          <w:sz w:val="22"/>
          <w:szCs w:val="22"/>
          <w:u w:val="single"/>
        </w:rPr>
        <w:t xml:space="preserve"> </w:t>
      </w:r>
      <w:r w:rsidR="009414D3" w:rsidRPr="0098330A">
        <w:rPr>
          <w:rFonts w:asciiTheme="majorHAnsi" w:hAnsiTheme="majorHAnsi" w:cstheme="majorHAnsi"/>
          <w:color w:val="1A1813"/>
          <w:sz w:val="22"/>
          <w:szCs w:val="22"/>
        </w:rPr>
        <w:t>Director</w:t>
      </w:r>
      <w:r w:rsidRPr="0098330A">
        <w:rPr>
          <w:rFonts w:asciiTheme="majorHAnsi" w:hAnsiTheme="majorHAnsi" w:cstheme="majorHAnsi"/>
          <w:color w:val="1A1813"/>
          <w:sz w:val="22"/>
          <w:szCs w:val="22"/>
        </w:rPr>
        <w:t xml:space="preserve"> with an academic accommodation letter from them. </w:t>
      </w:r>
      <w:r w:rsidR="009414D3" w:rsidRPr="0098330A">
        <w:rPr>
          <w:rFonts w:asciiTheme="majorHAnsi" w:hAnsiTheme="majorHAnsi" w:cstheme="majorHAnsi"/>
          <w:color w:val="1A1813"/>
          <w:sz w:val="22"/>
          <w:szCs w:val="22"/>
        </w:rPr>
        <w:t xml:space="preserve"> </w:t>
      </w:r>
      <w:r w:rsidRPr="0098330A">
        <w:rPr>
          <w:rFonts w:asciiTheme="majorHAnsi" w:hAnsiTheme="majorHAnsi" w:cstheme="majorHAnsi"/>
          <w:color w:val="1A1813"/>
          <w:sz w:val="22"/>
          <w:szCs w:val="22"/>
        </w:rPr>
        <w:t>For more information, contact SEAS at (401) 863-</w:t>
      </w:r>
      <w:r w:rsidRPr="0098330A">
        <w:rPr>
          <w:rFonts w:asciiTheme="majorHAnsi" w:hAnsiTheme="majorHAnsi" w:cstheme="majorHAnsi"/>
          <w:color w:val="1A1813"/>
          <w:sz w:val="22"/>
          <w:szCs w:val="22"/>
        </w:rPr>
        <w:lastRenderedPageBreak/>
        <w:t>9588 or SEAS@brown.edu.</w:t>
      </w:r>
    </w:p>
    <w:p w14:paraId="6FDB8D31" w14:textId="12FD8100" w:rsidR="000F7E28" w:rsidRPr="0098330A" w:rsidRDefault="00AB54D5" w:rsidP="00AB54D5">
      <w:pPr>
        <w:rPr>
          <w:rFonts w:asciiTheme="majorHAnsi" w:hAnsiTheme="majorHAnsi" w:cstheme="majorHAnsi"/>
          <w:sz w:val="22"/>
          <w:szCs w:val="22"/>
        </w:rPr>
      </w:pPr>
      <w:r w:rsidRPr="0098330A">
        <w:rPr>
          <w:rFonts w:asciiTheme="majorHAnsi" w:hAnsiTheme="majorHAnsi" w:cstheme="majorHAnsi"/>
          <w:color w:val="1A1813"/>
          <w:sz w:val="22"/>
          <w:szCs w:val="22"/>
        </w:rPr>
        <w:t xml:space="preserve">In addition, Brown's Graduate School offers a wealth of information on student support services.  See their web page on </w:t>
      </w:r>
      <w:r w:rsidRPr="0098330A">
        <w:rPr>
          <w:rFonts w:asciiTheme="majorHAnsi" w:hAnsiTheme="majorHAnsi" w:cstheme="majorHAnsi"/>
          <w:b/>
          <w:bCs/>
          <w:color w:val="1A1813"/>
          <w:sz w:val="22"/>
          <w:szCs w:val="22"/>
          <w:u w:val="single"/>
        </w:rPr>
        <w:t>Graduate Student Resources</w:t>
      </w:r>
      <w:r w:rsidRPr="0098330A">
        <w:rPr>
          <w:rFonts w:asciiTheme="majorHAnsi" w:hAnsiTheme="majorHAnsi" w:cstheme="majorHAnsi"/>
          <w:b/>
          <w:bCs/>
          <w:color w:val="1A1813"/>
          <w:sz w:val="22"/>
          <w:szCs w:val="22"/>
        </w:rPr>
        <w:t>:</w:t>
      </w:r>
      <w:r w:rsidRPr="0098330A">
        <w:rPr>
          <w:rFonts w:asciiTheme="majorHAnsi" w:hAnsiTheme="majorHAnsi" w:cstheme="majorHAnsi"/>
          <w:color w:val="1A1813"/>
          <w:sz w:val="22"/>
          <w:szCs w:val="22"/>
        </w:rPr>
        <w:t xml:space="preserve"> </w:t>
      </w:r>
      <w:hyperlink r:id="rId8" w:history="1">
        <w:r w:rsidRPr="0098330A">
          <w:rPr>
            <w:rFonts w:asciiTheme="majorHAnsi" w:hAnsiTheme="majorHAnsi" w:cstheme="majorHAnsi"/>
            <w:color w:val="0000FF"/>
            <w:sz w:val="22"/>
            <w:szCs w:val="22"/>
            <w:u w:val="single"/>
          </w:rPr>
          <w:t>https://www.brown.edu/academics/gradschool/about/graduate-student-resources</w:t>
        </w:r>
      </w:hyperlink>
      <w:r w:rsidRPr="0098330A">
        <w:rPr>
          <w:rFonts w:asciiTheme="majorHAnsi" w:hAnsiTheme="majorHAnsi" w:cstheme="majorHAnsi"/>
          <w:sz w:val="22"/>
          <w:szCs w:val="22"/>
        </w:rPr>
        <w:t xml:space="preserve"> </w:t>
      </w:r>
    </w:p>
    <w:p w14:paraId="44BA5CC2" w14:textId="77777777" w:rsidR="000F7E28" w:rsidRPr="0098330A" w:rsidRDefault="000F7E28" w:rsidP="00AB54D5">
      <w:pPr>
        <w:rPr>
          <w:rFonts w:asciiTheme="majorHAnsi" w:hAnsiTheme="majorHAnsi" w:cstheme="majorHAnsi"/>
          <w:sz w:val="22"/>
          <w:szCs w:val="22"/>
        </w:rPr>
      </w:pPr>
    </w:p>
    <w:p w14:paraId="61779A28" w14:textId="57755052" w:rsidR="000F7E28" w:rsidRPr="0098330A" w:rsidRDefault="000F7E28" w:rsidP="00AB54D5">
      <w:pPr>
        <w:rPr>
          <w:rFonts w:asciiTheme="majorHAnsi" w:hAnsiTheme="majorHAnsi" w:cstheme="majorHAnsi"/>
          <w:sz w:val="22"/>
          <w:szCs w:val="22"/>
        </w:rPr>
      </w:pPr>
      <w:r w:rsidRPr="0098330A">
        <w:rPr>
          <w:rFonts w:asciiTheme="majorHAnsi" w:hAnsiTheme="majorHAnsi" w:cstheme="majorHAnsi"/>
          <w:sz w:val="22"/>
          <w:szCs w:val="22"/>
        </w:rPr>
        <w:t>Especially useful is</w:t>
      </w:r>
      <w:r w:rsidR="00AB54D5" w:rsidRPr="0098330A">
        <w:rPr>
          <w:rFonts w:asciiTheme="majorHAnsi" w:hAnsiTheme="majorHAnsi" w:cstheme="majorHAnsi"/>
          <w:sz w:val="22"/>
          <w:szCs w:val="22"/>
        </w:rPr>
        <w:t xml:space="preserve"> their link for </w:t>
      </w:r>
      <w:r w:rsidR="00AB54D5" w:rsidRPr="0098330A">
        <w:rPr>
          <w:rFonts w:asciiTheme="majorHAnsi" w:hAnsiTheme="majorHAnsi" w:cstheme="majorHAnsi"/>
          <w:b/>
          <w:bCs/>
          <w:sz w:val="22"/>
          <w:szCs w:val="22"/>
          <w:u w:val="single"/>
        </w:rPr>
        <w:t>Student Support Services:</w:t>
      </w:r>
      <w:r w:rsidR="00AB54D5" w:rsidRPr="0098330A">
        <w:rPr>
          <w:rFonts w:asciiTheme="majorHAnsi" w:hAnsiTheme="majorHAnsi" w:cstheme="majorHAnsi"/>
          <w:sz w:val="22"/>
          <w:szCs w:val="22"/>
        </w:rPr>
        <w:t xml:space="preserve"> </w:t>
      </w:r>
    </w:p>
    <w:p w14:paraId="7B6E98B3" w14:textId="77777777" w:rsidR="000F7E28" w:rsidRPr="0098330A" w:rsidRDefault="001F153D" w:rsidP="00AB54D5">
      <w:pPr>
        <w:rPr>
          <w:rFonts w:asciiTheme="majorHAnsi" w:hAnsiTheme="majorHAnsi" w:cstheme="majorHAnsi"/>
          <w:sz w:val="22"/>
          <w:szCs w:val="22"/>
        </w:rPr>
      </w:pPr>
      <w:hyperlink r:id="rId9" w:history="1">
        <w:r w:rsidR="00AB54D5" w:rsidRPr="0098330A">
          <w:rPr>
            <w:rStyle w:val="Hyperlink"/>
            <w:rFonts w:asciiTheme="majorHAnsi" w:hAnsiTheme="majorHAnsi" w:cstheme="majorHAnsi"/>
            <w:sz w:val="22"/>
            <w:szCs w:val="22"/>
          </w:rPr>
          <w:t>https://www.brown.edu/offices/student-support/student-support-services</w:t>
        </w:r>
      </w:hyperlink>
      <w:r w:rsidR="00AB54D5" w:rsidRPr="0098330A">
        <w:rPr>
          <w:rFonts w:asciiTheme="majorHAnsi" w:hAnsiTheme="majorHAnsi" w:cstheme="majorHAnsi"/>
          <w:sz w:val="22"/>
          <w:szCs w:val="22"/>
        </w:rPr>
        <w:t xml:space="preserve">.  </w:t>
      </w:r>
    </w:p>
    <w:p w14:paraId="2E51C432" w14:textId="4461EA84" w:rsidR="000F7E28" w:rsidRPr="0098330A" w:rsidRDefault="00AB54D5" w:rsidP="00AB54D5">
      <w:pPr>
        <w:rPr>
          <w:rFonts w:asciiTheme="majorHAnsi" w:hAnsiTheme="majorHAnsi" w:cstheme="majorHAnsi"/>
          <w:sz w:val="22"/>
          <w:szCs w:val="22"/>
        </w:rPr>
      </w:pPr>
      <w:r w:rsidRPr="0098330A">
        <w:rPr>
          <w:rFonts w:asciiTheme="majorHAnsi" w:hAnsiTheme="majorHAnsi" w:cstheme="majorHAnsi"/>
          <w:sz w:val="22"/>
          <w:szCs w:val="22"/>
        </w:rPr>
        <w:t xml:space="preserve">Such services cover </w:t>
      </w:r>
      <w:r w:rsidR="000F7E28" w:rsidRPr="0098330A">
        <w:rPr>
          <w:rFonts w:asciiTheme="majorHAnsi" w:hAnsiTheme="majorHAnsi" w:cstheme="majorHAnsi"/>
          <w:sz w:val="22"/>
          <w:szCs w:val="22"/>
        </w:rPr>
        <w:t>issues</w:t>
      </w:r>
      <w:r w:rsidRPr="0098330A">
        <w:rPr>
          <w:rFonts w:asciiTheme="majorHAnsi" w:hAnsiTheme="majorHAnsi" w:cstheme="majorHAnsi"/>
          <w:sz w:val="22"/>
          <w:szCs w:val="22"/>
        </w:rPr>
        <w:t xml:space="preserve"> as wide-ranging as academic problems, medical leaves, financial need, gender harassment</w:t>
      </w:r>
      <w:r w:rsidR="000F7E28" w:rsidRPr="0098330A">
        <w:rPr>
          <w:rFonts w:asciiTheme="majorHAnsi" w:hAnsiTheme="majorHAnsi" w:cstheme="majorHAnsi"/>
          <w:sz w:val="22"/>
          <w:szCs w:val="22"/>
        </w:rPr>
        <w:t xml:space="preserve"> (Title IX)</w:t>
      </w:r>
      <w:r w:rsidRPr="0098330A">
        <w:rPr>
          <w:rFonts w:asciiTheme="majorHAnsi" w:hAnsiTheme="majorHAnsi" w:cstheme="majorHAnsi"/>
          <w:sz w:val="22"/>
          <w:szCs w:val="22"/>
        </w:rPr>
        <w:t xml:space="preserve">, and general student health and well-being.  </w:t>
      </w:r>
    </w:p>
    <w:p w14:paraId="6D9BBD37" w14:textId="77777777" w:rsidR="000F7E28" w:rsidRPr="0098330A" w:rsidRDefault="000F7E28" w:rsidP="00AB54D5">
      <w:pPr>
        <w:rPr>
          <w:rFonts w:asciiTheme="majorHAnsi" w:hAnsiTheme="majorHAnsi" w:cstheme="majorHAnsi"/>
          <w:sz w:val="22"/>
          <w:szCs w:val="22"/>
        </w:rPr>
      </w:pPr>
    </w:p>
    <w:p w14:paraId="5C5207AB" w14:textId="1662B293" w:rsidR="00AB54D5" w:rsidRPr="0098330A" w:rsidRDefault="000F7E28" w:rsidP="00AB54D5">
      <w:pPr>
        <w:rPr>
          <w:rFonts w:asciiTheme="majorHAnsi" w:hAnsiTheme="majorHAnsi" w:cstheme="majorHAnsi"/>
          <w:sz w:val="22"/>
          <w:szCs w:val="22"/>
        </w:rPr>
      </w:pPr>
      <w:r w:rsidRPr="0098330A">
        <w:rPr>
          <w:rFonts w:asciiTheme="majorHAnsi" w:hAnsiTheme="majorHAnsi" w:cstheme="majorHAnsi"/>
          <w:sz w:val="22"/>
          <w:szCs w:val="22"/>
        </w:rPr>
        <w:t>Particularly relevant right now is the link to</w:t>
      </w:r>
      <w:r w:rsidR="00AB54D5" w:rsidRPr="0098330A">
        <w:rPr>
          <w:rFonts w:asciiTheme="majorHAnsi" w:hAnsiTheme="majorHAnsi" w:cstheme="majorHAnsi"/>
          <w:sz w:val="22"/>
          <w:szCs w:val="22"/>
        </w:rPr>
        <w:t xml:space="preserve"> </w:t>
      </w:r>
      <w:r w:rsidRPr="0098330A">
        <w:rPr>
          <w:rFonts w:asciiTheme="majorHAnsi" w:hAnsiTheme="majorHAnsi" w:cstheme="majorHAnsi"/>
          <w:sz w:val="22"/>
          <w:szCs w:val="22"/>
        </w:rPr>
        <w:t xml:space="preserve">graduate student </w:t>
      </w:r>
      <w:r w:rsidRPr="0098330A">
        <w:rPr>
          <w:rFonts w:asciiTheme="majorHAnsi" w:hAnsiTheme="majorHAnsi" w:cstheme="majorHAnsi"/>
          <w:b/>
          <w:bCs/>
          <w:sz w:val="22"/>
          <w:szCs w:val="22"/>
          <w:u w:val="single"/>
        </w:rPr>
        <w:t xml:space="preserve">FAQs regarding the </w:t>
      </w:r>
      <w:r w:rsidR="00AB54D5" w:rsidRPr="0098330A">
        <w:rPr>
          <w:rFonts w:asciiTheme="majorHAnsi" w:hAnsiTheme="majorHAnsi" w:cstheme="majorHAnsi"/>
          <w:b/>
          <w:bCs/>
          <w:sz w:val="22"/>
          <w:szCs w:val="22"/>
          <w:u w:val="single"/>
        </w:rPr>
        <w:t>Covid-19 crisis</w:t>
      </w:r>
      <w:r w:rsidRPr="0098330A">
        <w:rPr>
          <w:rFonts w:asciiTheme="majorHAnsi" w:hAnsiTheme="majorHAnsi" w:cstheme="majorHAnsi"/>
          <w:b/>
          <w:bCs/>
          <w:sz w:val="22"/>
          <w:szCs w:val="22"/>
          <w:u w:val="single"/>
        </w:rPr>
        <w:t>:</w:t>
      </w:r>
    </w:p>
    <w:p w14:paraId="7D39E28F" w14:textId="2073E430" w:rsidR="007A6998" w:rsidRPr="0098330A" w:rsidRDefault="001F153D" w:rsidP="00C052E2">
      <w:pPr>
        <w:rPr>
          <w:rFonts w:asciiTheme="majorHAnsi" w:hAnsiTheme="majorHAnsi" w:cstheme="majorHAnsi"/>
          <w:sz w:val="22"/>
          <w:szCs w:val="22"/>
        </w:rPr>
      </w:pPr>
      <w:hyperlink r:id="rId10" w:history="1">
        <w:r w:rsidR="000F7E28" w:rsidRPr="0098330A">
          <w:rPr>
            <w:rStyle w:val="Hyperlink"/>
            <w:rFonts w:asciiTheme="majorHAnsi" w:hAnsiTheme="majorHAnsi" w:cstheme="majorHAnsi"/>
            <w:sz w:val="22"/>
            <w:szCs w:val="22"/>
          </w:rPr>
          <w:t>https://www.brown.edu/academics/gradschool/covid-19-faqs-graduate-students</w:t>
        </w:r>
      </w:hyperlink>
    </w:p>
    <w:p w14:paraId="7CC00864" w14:textId="16586469" w:rsidR="003D7ACA" w:rsidRPr="0098330A" w:rsidRDefault="003D7ACA">
      <w:pPr>
        <w:rPr>
          <w:rFonts w:asciiTheme="majorHAnsi" w:hAnsiTheme="majorHAnsi" w:cstheme="majorHAnsi"/>
          <w:sz w:val="22"/>
          <w:szCs w:val="22"/>
        </w:rPr>
      </w:pPr>
    </w:p>
    <w:p w14:paraId="6439C1C9" w14:textId="07EFEF98" w:rsidR="006909C6" w:rsidRPr="0098330A" w:rsidRDefault="003D7ACA" w:rsidP="006909C6">
      <w:pPr>
        <w:rPr>
          <w:rFonts w:asciiTheme="majorHAnsi" w:hAnsiTheme="majorHAnsi" w:cstheme="majorHAnsi"/>
          <w:sz w:val="22"/>
          <w:szCs w:val="22"/>
        </w:rPr>
      </w:pPr>
      <w:r w:rsidRPr="0098330A">
        <w:rPr>
          <w:rFonts w:asciiTheme="majorHAnsi" w:hAnsiTheme="majorHAnsi" w:cstheme="majorHAnsi"/>
          <w:sz w:val="22"/>
          <w:szCs w:val="22"/>
        </w:rPr>
        <w:t xml:space="preserve">Many </w:t>
      </w:r>
      <w:r w:rsidR="00720087" w:rsidRPr="0098330A">
        <w:rPr>
          <w:rFonts w:asciiTheme="majorHAnsi" w:hAnsiTheme="majorHAnsi" w:cstheme="majorHAnsi"/>
          <w:sz w:val="22"/>
          <w:szCs w:val="22"/>
        </w:rPr>
        <w:t xml:space="preserve">diversity and inclusion </w:t>
      </w:r>
      <w:r w:rsidRPr="0098330A">
        <w:rPr>
          <w:rFonts w:asciiTheme="majorHAnsi" w:hAnsiTheme="majorHAnsi" w:cstheme="majorHAnsi"/>
          <w:sz w:val="22"/>
          <w:szCs w:val="22"/>
        </w:rPr>
        <w:t xml:space="preserve">resources also </w:t>
      </w:r>
      <w:r w:rsidR="0096440A" w:rsidRPr="0098330A">
        <w:rPr>
          <w:rFonts w:asciiTheme="majorHAnsi" w:hAnsiTheme="majorHAnsi" w:cstheme="majorHAnsi"/>
          <w:sz w:val="22"/>
          <w:szCs w:val="22"/>
        </w:rPr>
        <w:t>are</w:t>
      </w:r>
      <w:r w:rsidRPr="0098330A">
        <w:rPr>
          <w:rFonts w:asciiTheme="majorHAnsi" w:hAnsiTheme="majorHAnsi" w:cstheme="majorHAnsi"/>
          <w:sz w:val="22"/>
          <w:szCs w:val="22"/>
        </w:rPr>
        <w:t xml:space="preserve"> provided by Brown's </w:t>
      </w:r>
      <w:r w:rsidR="006909C6" w:rsidRPr="0098330A">
        <w:rPr>
          <w:rFonts w:asciiTheme="majorHAnsi" w:hAnsiTheme="majorHAnsi" w:cstheme="majorHAnsi"/>
          <w:sz w:val="22"/>
          <w:szCs w:val="22"/>
        </w:rPr>
        <w:t>Office of Institutional Equity &amp; Diversity:</w:t>
      </w:r>
      <w:r w:rsidR="00537B21" w:rsidRPr="0098330A">
        <w:rPr>
          <w:rFonts w:asciiTheme="majorHAnsi" w:hAnsiTheme="majorHAnsi" w:cstheme="majorHAnsi"/>
          <w:sz w:val="22"/>
          <w:szCs w:val="22"/>
        </w:rPr>
        <w:t xml:space="preserve">  </w:t>
      </w:r>
      <w:hyperlink r:id="rId11" w:history="1">
        <w:r w:rsidR="006909C6" w:rsidRPr="0098330A">
          <w:rPr>
            <w:rStyle w:val="Hyperlink"/>
            <w:rFonts w:asciiTheme="majorHAnsi" w:hAnsiTheme="majorHAnsi" w:cstheme="majorHAnsi"/>
            <w:sz w:val="22"/>
            <w:szCs w:val="22"/>
          </w:rPr>
          <w:t>https://www.brown.edu/about/administration/institutional-diversity/resources/resources-during-national-unrest-2020</w:t>
        </w:r>
      </w:hyperlink>
    </w:p>
    <w:p w14:paraId="5E64538D" w14:textId="1AA1ACDC" w:rsidR="003D7ACA" w:rsidRPr="0098330A" w:rsidRDefault="0096440A">
      <w:pPr>
        <w:rPr>
          <w:rFonts w:asciiTheme="majorHAnsi" w:hAnsiTheme="majorHAnsi" w:cstheme="majorHAnsi"/>
          <w:sz w:val="22"/>
          <w:szCs w:val="22"/>
        </w:rPr>
      </w:pPr>
      <w:r w:rsidRPr="0098330A">
        <w:rPr>
          <w:rFonts w:asciiTheme="majorHAnsi" w:hAnsiTheme="majorHAnsi" w:cstheme="majorHAnsi"/>
          <w:sz w:val="22"/>
          <w:szCs w:val="22"/>
        </w:rPr>
        <w:t xml:space="preserve">This office also provides useful links </w:t>
      </w:r>
      <w:r w:rsidR="00371554" w:rsidRPr="0098330A">
        <w:rPr>
          <w:rFonts w:asciiTheme="majorHAnsi" w:hAnsiTheme="majorHAnsi" w:cstheme="majorHAnsi"/>
          <w:sz w:val="22"/>
          <w:szCs w:val="22"/>
        </w:rPr>
        <w:t>regarding racial injustice and</w:t>
      </w:r>
      <w:r w:rsidRPr="0098330A">
        <w:rPr>
          <w:rFonts w:asciiTheme="majorHAnsi" w:hAnsiTheme="majorHAnsi" w:cstheme="majorHAnsi"/>
          <w:sz w:val="22"/>
          <w:szCs w:val="22"/>
        </w:rPr>
        <w:t xml:space="preserve"> the "Black Lives Matter" movement.</w:t>
      </w:r>
    </w:p>
    <w:p w14:paraId="12B9A272" w14:textId="77777777" w:rsidR="0096440A" w:rsidRPr="0098330A" w:rsidRDefault="0096440A">
      <w:pPr>
        <w:rPr>
          <w:rFonts w:asciiTheme="majorHAnsi" w:hAnsiTheme="majorHAnsi" w:cstheme="majorHAnsi"/>
          <w:sz w:val="22"/>
          <w:szCs w:val="22"/>
        </w:rPr>
      </w:pPr>
    </w:p>
    <w:p w14:paraId="4DA118DF" w14:textId="1D9AA19C" w:rsidR="003D7ACA" w:rsidRPr="0098330A" w:rsidRDefault="0096440A">
      <w:pPr>
        <w:rPr>
          <w:rFonts w:asciiTheme="majorHAnsi" w:hAnsiTheme="majorHAnsi" w:cstheme="majorHAnsi"/>
          <w:sz w:val="22"/>
          <w:szCs w:val="22"/>
        </w:rPr>
      </w:pPr>
      <w:r w:rsidRPr="0098330A">
        <w:rPr>
          <w:rFonts w:asciiTheme="majorHAnsi" w:hAnsiTheme="majorHAnsi" w:cstheme="majorHAnsi"/>
          <w:sz w:val="22"/>
          <w:szCs w:val="22"/>
        </w:rPr>
        <w:t xml:space="preserve">For general policy development regarding diversity and inclusion, </w:t>
      </w:r>
      <w:r w:rsidR="0098330A" w:rsidRPr="0098330A">
        <w:rPr>
          <w:rFonts w:asciiTheme="majorHAnsi" w:hAnsiTheme="majorHAnsi" w:cstheme="majorHAnsi"/>
          <w:sz w:val="22"/>
          <w:szCs w:val="22"/>
        </w:rPr>
        <w:t xml:space="preserve">TSGP is in the process of establishing its own </w:t>
      </w:r>
      <w:r w:rsidR="00720087" w:rsidRPr="0098330A">
        <w:rPr>
          <w:rFonts w:asciiTheme="majorHAnsi" w:hAnsiTheme="majorHAnsi" w:cstheme="majorHAnsi"/>
          <w:sz w:val="22"/>
          <w:szCs w:val="22"/>
        </w:rPr>
        <w:t xml:space="preserve">Diversity and Inclusion Action Plan </w:t>
      </w:r>
      <w:r w:rsidRPr="0098330A">
        <w:rPr>
          <w:rFonts w:asciiTheme="majorHAnsi" w:hAnsiTheme="majorHAnsi" w:cstheme="majorHAnsi"/>
          <w:sz w:val="22"/>
          <w:szCs w:val="22"/>
        </w:rPr>
        <w:t xml:space="preserve">(DIAP) </w:t>
      </w:r>
      <w:r w:rsidR="00720087" w:rsidRPr="0098330A">
        <w:rPr>
          <w:rFonts w:asciiTheme="majorHAnsi" w:hAnsiTheme="majorHAnsi" w:cstheme="majorHAnsi"/>
          <w:sz w:val="22"/>
          <w:szCs w:val="22"/>
        </w:rPr>
        <w:t xml:space="preserve">Committee. </w:t>
      </w:r>
    </w:p>
    <w:p w14:paraId="11EBFEA8" w14:textId="77777777" w:rsidR="00720087" w:rsidRPr="0098330A" w:rsidRDefault="00720087" w:rsidP="00C66EBD">
      <w:pPr>
        <w:rPr>
          <w:rFonts w:asciiTheme="majorHAnsi" w:hAnsiTheme="majorHAnsi" w:cstheme="majorHAnsi"/>
          <w:sz w:val="22"/>
          <w:szCs w:val="22"/>
        </w:rPr>
      </w:pPr>
    </w:p>
    <w:p w14:paraId="314296D6" w14:textId="4C43D775" w:rsidR="0004797E" w:rsidRPr="0098330A" w:rsidRDefault="0096440A" w:rsidP="00382593">
      <w:pPr>
        <w:jc w:val="both"/>
        <w:rPr>
          <w:rFonts w:asciiTheme="majorHAnsi" w:hAnsiTheme="majorHAnsi" w:cstheme="majorHAnsi"/>
          <w:color w:val="2F2A20"/>
          <w:sz w:val="22"/>
          <w:szCs w:val="22"/>
        </w:rPr>
      </w:pPr>
      <w:r w:rsidRPr="0098330A">
        <w:rPr>
          <w:rFonts w:asciiTheme="majorHAnsi" w:hAnsiTheme="majorHAnsi" w:cstheme="majorHAnsi"/>
          <w:sz w:val="22"/>
          <w:szCs w:val="22"/>
        </w:rPr>
        <w:t xml:space="preserve">Finally, </w:t>
      </w:r>
      <w:r w:rsidR="0004797E" w:rsidRPr="0098330A">
        <w:rPr>
          <w:rFonts w:asciiTheme="majorHAnsi" w:hAnsiTheme="majorHAnsi" w:cstheme="majorHAnsi"/>
          <w:color w:val="2F2A20"/>
          <w:sz w:val="22"/>
          <w:szCs w:val="22"/>
        </w:rPr>
        <w:t xml:space="preserve">Brown University, and its Division of Biology &amp; Medicine, </w:t>
      </w:r>
      <w:r w:rsidR="0020244D" w:rsidRPr="0098330A">
        <w:rPr>
          <w:rFonts w:asciiTheme="majorHAnsi" w:hAnsiTheme="majorHAnsi" w:cstheme="majorHAnsi"/>
          <w:color w:val="2F2A20"/>
          <w:sz w:val="22"/>
          <w:szCs w:val="22"/>
        </w:rPr>
        <w:t xml:space="preserve">also </w:t>
      </w:r>
      <w:r w:rsidR="0004797E" w:rsidRPr="0098330A">
        <w:rPr>
          <w:rFonts w:asciiTheme="majorHAnsi" w:hAnsiTheme="majorHAnsi" w:cstheme="majorHAnsi"/>
          <w:color w:val="2F2A20"/>
          <w:sz w:val="22"/>
          <w:szCs w:val="22"/>
        </w:rPr>
        <w:t>support numerous on-campus organizations and programs that promote inclusion and support campus diversity.  These include:</w:t>
      </w:r>
    </w:p>
    <w:p w14:paraId="0C13CE1C" w14:textId="77777777" w:rsidR="00E67385" w:rsidRPr="0098330A" w:rsidRDefault="00E67385" w:rsidP="0098330A">
      <w:pPr>
        <w:jc w:val="both"/>
        <w:rPr>
          <w:rFonts w:asciiTheme="majorHAnsi" w:hAnsiTheme="majorHAnsi" w:cstheme="majorHAnsi"/>
          <w:color w:val="000000"/>
          <w:sz w:val="22"/>
          <w:szCs w:val="22"/>
        </w:rPr>
      </w:pPr>
    </w:p>
    <w:p w14:paraId="62A15905" w14:textId="7C8CC17E" w:rsidR="0004797E" w:rsidRPr="0098330A" w:rsidRDefault="001F153D" w:rsidP="0098330A">
      <w:pPr>
        <w:numPr>
          <w:ilvl w:val="0"/>
          <w:numId w:val="17"/>
        </w:numPr>
        <w:shd w:val="clear" w:color="auto" w:fill="FFFFFF"/>
        <w:ind w:left="360"/>
        <w:jc w:val="both"/>
        <w:rPr>
          <w:rFonts w:asciiTheme="majorHAnsi" w:hAnsiTheme="majorHAnsi" w:cstheme="majorHAnsi"/>
          <w:color w:val="2F2A20"/>
          <w:sz w:val="22"/>
          <w:szCs w:val="22"/>
        </w:rPr>
      </w:pPr>
      <w:hyperlink r:id="rId12" w:tgtFrame="_blank" w:history="1">
        <w:r w:rsidR="0004797E" w:rsidRPr="0098330A">
          <w:rPr>
            <w:rStyle w:val="Hyperlink"/>
            <w:rFonts w:asciiTheme="majorHAnsi" w:hAnsiTheme="majorHAnsi" w:cstheme="majorHAnsi"/>
            <w:b/>
            <w:bCs/>
            <w:color w:val="996666"/>
            <w:sz w:val="22"/>
            <w:szCs w:val="22"/>
          </w:rPr>
          <w:t>Biomed Initiative to Maximize Student Development (IMSD)</w:t>
        </w:r>
      </w:hyperlink>
      <w:r w:rsidR="0004797E" w:rsidRPr="0098330A">
        <w:rPr>
          <w:rFonts w:asciiTheme="majorHAnsi" w:hAnsiTheme="majorHAnsi" w:cstheme="majorHAnsi"/>
          <w:color w:val="2F2A20"/>
          <w:sz w:val="22"/>
          <w:szCs w:val="22"/>
        </w:rPr>
        <w:t>:</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The IMSD program, entitled "Advancing the Culture of PhD Learning and Scholarship in Biology and Health Sciences", provides extensive research training support for students from underrepresented groups to increase their participation in the fields of biomedical and behavioral research.</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IMSD support includes individual advising, and very popular training modules that are accessible to all students at Brown, covering such topics as scientific writing, data analysis and scientific presentations.</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The program funded by the National Institute of General Medical Sciences (NIGMS), within the National Institutes of Health (NIH).</w:t>
      </w:r>
      <w:r w:rsidR="0098330A" w:rsidRPr="0098330A">
        <w:rPr>
          <w:rFonts w:asciiTheme="majorHAnsi" w:hAnsiTheme="majorHAnsi" w:cstheme="majorHAnsi"/>
          <w:color w:val="2F2A20"/>
          <w:sz w:val="22"/>
          <w:szCs w:val="22"/>
        </w:rPr>
        <w:t xml:space="preserve">  Some of our students have been supported by the IMSD program and many attend IMSD modules.  In addition, some of our faculty trainers have taught, or are teaching, IMSD modules.</w:t>
      </w:r>
    </w:p>
    <w:p w14:paraId="62E10761" w14:textId="5EB66D6C" w:rsidR="0004797E" w:rsidRPr="0098330A" w:rsidRDefault="001F153D" w:rsidP="0098330A">
      <w:pPr>
        <w:numPr>
          <w:ilvl w:val="0"/>
          <w:numId w:val="17"/>
        </w:numPr>
        <w:shd w:val="clear" w:color="auto" w:fill="FFFFFF"/>
        <w:ind w:left="360"/>
        <w:jc w:val="both"/>
        <w:rPr>
          <w:rFonts w:asciiTheme="majorHAnsi" w:hAnsiTheme="majorHAnsi" w:cstheme="majorHAnsi"/>
          <w:color w:val="2F2A20"/>
          <w:sz w:val="22"/>
          <w:szCs w:val="22"/>
        </w:rPr>
      </w:pPr>
      <w:hyperlink r:id="rId13" w:tgtFrame="_blank" w:history="1">
        <w:r w:rsidR="0004797E" w:rsidRPr="0098330A">
          <w:rPr>
            <w:rStyle w:val="Hyperlink"/>
            <w:rFonts w:asciiTheme="majorHAnsi" w:hAnsiTheme="majorHAnsi" w:cstheme="majorHAnsi"/>
            <w:b/>
            <w:bCs/>
            <w:color w:val="996666"/>
            <w:sz w:val="22"/>
            <w:szCs w:val="22"/>
          </w:rPr>
          <w:t>Office of Student and Employee Accessibility Services (SEAS)</w:t>
        </w:r>
      </w:hyperlink>
      <w:r w:rsidR="0004797E" w:rsidRPr="0098330A">
        <w:rPr>
          <w:rFonts w:asciiTheme="majorHAnsi" w:hAnsiTheme="majorHAnsi" w:cstheme="majorHAnsi"/>
          <w:color w:val="2F2A20"/>
          <w:sz w:val="22"/>
          <w:szCs w:val="22"/>
        </w:rPr>
        <w:t>:</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SEAS provides extensive support for students, staff, faculty and visitors with physical, psychological and learning disabilities.</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SEAS has provided advice during extensive improvements to our existing buildings, as well as construction of new buildings, to enhance handicapped accessibility. </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Handicapped-accessible transportation between all campus facilities is coordinated by SEAS, which provides a shuttle service.</w:t>
      </w:r>
    </w:p>
    <w:p w14:paraId="06BE76B4" w14:textId="3EE7FFCD" w:rsidR="0004797E" w:rsidRPr="0098330A" w:rsidRDefault="001F153D" w:rsidP="0098330A">
      <w:pPr>
        <w:numPr>
          <w:ilvl w:val="0"/>
          <w:numId w:val="18"/>
        </w:numPr>
        <w:shd w:val="clear" w:color="auto" w:fill="FFFFFF"/>
        <w:ind w:left="360"/>
        <w:jc w:val="both"/>
        <w:rPr>
          <w:rFonts w:asciiTheme="majorHAnsi" w:hAnsiTheme="majorHAnsi" w:cstheme="majorHAnsi"/>
          <w:color w:val="2F2A20"/>
          <w:sz w:val="22"/>
          <w:szCs w:val="22"/>
        </w:rPr>
      </w:pPr>
      <w:hyperlink r:id="rId14" w:tgtFrame="_blank" w:history="1">
        <w:r w:rsidR="0004797E" w:rsidRPr="0098330A">
          <w:rPr>
            <w:rStyle w:val="Hyperlink"/>
            <w:rFonts w:asciiTheme="majorHAnsi" w:hAnsiTheme="majorHAnsi" w:cstheme="majorHAnsi"/>
            <w:b/>
            <w:bCs/>
            <w:color w:val="996666"/>
            <w:sz w:val="22"/>
            <w:szCs w:val="22"/>
          </w:rPr>
          <w:t>Brown Leadership Alliance:</w:t>
        </w:r>
      </w:hyperlink>
      <w:r w:rsidR="0004797E" w:rsidRPr="0098330A">
        <w:rPr>
          <w:rFonts w:asciiTheme="majorHAnsi" w:hAnsiTheme="majorHAnsi" w:cstheme="majorHAnsi"/>
          <w:color w:val="2F2A20"/>
          <w:sz w:val="22"/>
          <w:szCs w:val="22"/>
        </w:rPr>
        <w:t xml:space="preserve">  Since 1993</w:t>
      </w:r>
      <w:r w:rsidR="0001744E" w:rsidRPr="0098330A">
        <w:rPr>
          <w:rFonts w:asciiTheme="majorHAnsi" w:hAnsiTheme="majorHAnsi" w:cstheme="majorHAnsi"/>
          <w:color w:val="2F2A20"/>
          <w:sz w:val="22"/>
          <w:szCs w:val="22"/>
        </w:rPr>
        <w:t>,</w:t>
      </w:r>
      <w:r w:rsidR="0004797E" w:rsidRPr="0098330A">
        <w:rPr>
          <w:rFonts w:asciiTheme="majorHAnsi" w:hAnsiTheme="majorHAnsi" w:cstheme="majorHAnsi"/>
          <w:color w:val="2F2A20"/>
          <w:sz w:val="22"/>
          <w:szCs w:val="22"/>
        </w:rPr>
        <w:t xml:space="preserve"> Brown has belonged to a consortium of more than 30 schools that support a Leadership Alliance.  The Leadership Alliance Summer Research Early Identification Program provides mentoring and promotes summer research for underrepresented students in the life and physical sciences, social sciences, engineering, computer science, and applied mathematics.</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 </w:t>
      </w:r>
      <w:r w:rsidR="0089547B" w:rsidRPr="0098330A">
        <w:rPr>
          <w:rFonts w:asciiTheme="majorHAnsi" w:hAnsiTheme="majorHAnsi" w:cstheme="majorHAnsi"/>
          <w:color w:val="2F2A20"/>
          <w:sz w:val="22"/>
          <w:szCs w:val="22"/>
        </w:rPr>
        <w:t>A</w:t>
      </w:r>
      <w:r w:rsidR="0004797E" w:rsidRPr="0098330A">
        <w:rPr>
          <w:rFonts w:asciiTheme="majorHAnsi" w:hAnsiTheme="majorHAnsi" w:cstheme="majorHAnsi"/>
          <w:color w:val="2F2A20"/>
          <w:sz w:val="22"/>
          <w:szCs w:val="22"/>
        </w:rPr>
        <w:t xml:space="preserve"> large percentage of students from the Leadership Alliance summer program apply to the Brown graduate school. </w:t>
      </w:r>
    </w:p>
    <w:p w14:paraId="53DC87DE" w14:textId="5CCC9DB3" w:rsidR="0004797E" w:rsidRPr="0098330A" w:rsidRDefault="001F153D" w:rsidP="0098330A">
      <w:pPr>
        <w:numPr>
          <w:ilvl w:val="0"/>
          <w:numId w:val="19"/>
        </w:numPr>
        <w:shd w:val="clear" w:color="auto" w:fill="FFFFFF"/>
        <w:ind w:left="360"/>
        <w:rPr>
          <w:rFonts w:asciiTheme="majorHAnsi" w:hAnsiTheme="majorHAnsi" w:cstheme="majorHAnsi"/>
          <w:color w:val="2F2A20"/>
          <w:sz w:val="22"/>
          <w:szCs w:val="22"/>
        </w:rPr>
      </w:pPr>
      <w:hyperlink r:id="rId15" w:tgtFrame="_blank" w:history="1">
        <w:r w:rsidR="0004797E" w:rsidRPr="0098330A">
          <w:rPr>
            <w:rStyle w:val="Hyperlink"/>
            <w:rFonts w:asciiTheme="majorHAnsi" w:hAnsiTheme="majorHAnsi" w:cstheme="majorHAnsi"/>
            <w:b/>
            <w:bCs/>
            <w:color w:val="996666"/>
            <w:sz w:val="22"/>
            <w:szCs w:val="22"/>
          </w:rPr>
          <w:t>Society for the Advancement of Hispanics, Chicanos and Native Americans in Science (SACNAS), Brown Chapter:</w:t>
        </w:r>
      </w:hyperlink>
      <w:r w:rsidR="00C61A8A" w:rsidRPr="0098330A">
        <w:rPr>
          <w:rStyle w:val="Strong"/>
          <w:rFonts w:asciiTheme="majorHAnsi" w:hAnsiTheme="majorHAnsi" w:cstheme="majorHAnsi"/>
          <w:color w:val="2F2A20"/>
          <w:sz w:val="22"/>
          <w:szCs w:val="22"/>
        </w:rPr>
        <w:t xml:space="preserve"> </w:t>
      </w:r>
      <w:r w:rsidR="0098330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This society is a community of scientists dedicated to fostering the success of students from these underrepresented groups at Brown.</w:t>
      </w:r>
    </w:p>
    <w:p w14:paraId="4E553D7E" w14:textId="52900DD8" w:rsidR="0004797E" w:rsidRPr="0098330A" w:rsidRDefault="001F153D" w:rsidP="0098330A">
      <w:pPr>
        <w:pStyle w:val="ListParagraph"/>
        <w:numPr>
          <w:ilvl w:val="0"/>
          <w:numId w:val="19"/>
        </w:numPr>
        <w:tabs>
          <w:tab w:val="clear" w:pos="720"/>
        </w:tabs>
        <w:ind w:left="360"/>
        <w:contextualSpacing w:val="0"/>
        <w:rPr>
          <w:rFonts w:asciiTheme="majorHAnsi" w:hAnsiTheme="majorHAnsi" w:cstheme="majorHAnsi"/>
          <w:sz w:val="22"/>
          <w:szCs w:val="22"/>
        </w:rPr>
      </w:pPr>
      <w:hyperlink r:id="rId16" w:tgtFrame="_blank" w:history="1">
        <w:r w:rsidR="0004797E" w:rsidRPr="0098330A">
          <w:rPr>
            <w:rStyle w:val="Hyperlink"/>
            <w:rFonts w:asciiTheme="majorHAnsi" w:hAnsiTheme="majorHAnsi" w:cstheme="majorHAnsi"/>
            <w:b/>
            <w:bCs/>
            <w:color w:val="996666"/>
            <w:sz w:val="22"/>
            <w:szCs w:val="22"/>
          </w:rPr>
          <w:t>Brown Center for Students of Color:</w:t>
        </w:r>
      </w:hyperlink>
      <w:r w:rsidR="0004797E" w:rsidRPr="0098330A">
        <w:rPr>
          <w:rFonts w:asciiTheme="majorHAnsi" w:hAnsiTheme="majorHAnsi" w:cstheme="majorHAnsi"/>
          <w:color w:val="2F2A20"/>
          <w:sz w:val="22"/>
          <w:szCs w:val="22"/>
        </w:rPr>
        <w:t xml:space="preserve">  This center serves as a source of support for American and International students of color at Brown</w:t>
      </w:r>
      <w:r w:rsidR="0089547B" w:rsidRPr="0098330A">
        <w:rPr>
          <w:rFonts w:asciiTheme="majorHAnsi" w:hAnsiTheme="majorHAnsi" w:cstheme="majorHAnsi"/>
          <w:color w:val="2F2A20"/>
          <w:sz w:val="22"/>
          <w:szCs w:val="22"/>
        </w:rPr>
        <w:t>, including a mentoring program for African Americans, Latinos, Asian/Asian Americans and Native Americans (ALANA;</w:t>
      </w:r>
      <w:r w:rsidR="0098330A">
        <w:rPr>
          <w:rFonts w:asciiTheme="majorHAnsi" w:hAnsiTheme="majorHAnsi" w:cstheme="majorHAnsi"/>
          <w:color w:val="2F2A20"/>
          <w:sz w:val="22"/>
          <w:szCs w:val="22"/>
        </w:rPr>
        <w:t xml:space="preserve"> links:</w:t>
      </w:r>
      <w:r w:rsidR="0089547B" w:rsidRPr="0098330A">
        <w:rPr>
          <w:rFonts w:asciiTheme="majorHAnsi" w:hAnsiTheme="majorHAnsi" w:cstheme="majorHAnsi"/>
          <w:color w:val="2F2A20"/>
          <w:sz w:val="22"/>
          <w:szCs w:val="22"/>
        </w:rPr>
        <w:t xml:space="preserve"> </w:t>
      </w:r>
      <w:hyperlink r:id="rId17" w:history="1">
        <w:r w:rsidR="0089547B" w:rsidRPr="0098330A">
          <w:rPr>
            <w:rStyle w:val="Hyperlink"/>
            <w:rFonts w:asciiTheme="majorHAnsi" w:hAnsiTheme="majorHAnsi" w:cstheme="majorHAnsi"/>
            <w:sz w:val="22"/>
            <w:szCs w:val="22"/>
          </w:rPr>
          <w:t>https://www.brown.edu/about/administration/institutional-diversity/resources/campus-resources-students-faculty-staff-and-alumni/mentoring-and-professional-development</w:t>
        </w:r>
      </w:hyperlink>
      <w:r w:rsidR="0089547B" w:rsidRPr="0098330A">
        <w:rPr>
          <w:rFonts w:asciiTheme="majorHAnsi" w:hAnsiTheme="majorHAnsi" w:cstheme="majorHAnsi"/>
          <w:color w:val="2F2A20"/>
          <w:sz w:val="22"/>
          <w:szCs w:val="22"/>
        </w:rPr>
        <w:t>)</w:t>
      </w:r>
      <w:r w:rsidR="0004797E" w:rsidRPr="0098330A">
        <w:rPr>
          <w:rFonts w:asciiTheme="majorHAnsi" w:hAnsiTheme="majorHAnsi" w:cstheme="majorHAnsi"/>
          <w:color w:val="2F2A20"/>
          <w:sz w:val="22"/>
          <w:szCs w:val="22"/>
        </w:rPr>
        <w:t>.</w:t>
      </w:r>
    </w:p>
    <w:p w14:paraId="3724EF8E" w14:textId="6D82A7FC" w:rsidR="0004797E" w:rsidRPr="0098330A" w:rsidRDefault="001F153D" w:rsidP="0098330A">
      <w:pPr>
        <w:numPr>
          <w:ilvl w:val="0"/>
          <w:numId w:val="19"/>
        </w:numPr>
        <w:shd w:val="clear" w:color="auto" w:fill="FFFFFF"/>
        <w:ind w:left="360"/>
        <w:jc w:val="both"/>
        <w:rPr>
          <w:rFonts w:asciiTheme="majorHAnsi" w:hAnsiTheme="majorHAnsi" w:cstheme="majorHAnsi"/>
          <w:color w:val="2F2A20"/>
          <w:sz w:val="22"/>
          <w:szCs w:val="22"/>
        </w:rPr>
      </w:pPr>
      <w:hyperlink r:id="rId18" w:tgtFrame="_blank" w:history="1">
        <w:r w:rsidR="0004797E" w:rsidRPr="0098330A">
          <w:rPr>
            <w:rStyle w:val="Hyperlink"/>
            <w:rFonts w:asciiTheme="majorHAnsi" w:hAnsiTheme="majorHAnsi" w:cstheme="majorHAnsi"/>
            <w:b/>
            <w:bCs/>
            <w:color w:val="996666"/>
            <w:sz w:val="22"/>
            <w:szCs w:val="22"/>
          </w:rPr>
          <w:t>Nabrit Black Graduate Student Association (BGSA)</w:t>
        </w:r>
      </w:hyperlink>
      <w:hyperlink r:id="rId19" w:tgtFrame="_blank" w:history="1">
        <w:r w:rsidR="0004797E" w:rsidRPr="0098330A">
          <w:rPr>
            <w:rStyle w:val="Hyperlink"/>
            <w:rFonts w:asciiTheme="majorHAnsi" w:hAnsiTheme="majorHAnsi" w:cstheme="majorHAnsi"/>
            <w:color w:val="996666"/>
            <w:sz w:val="22"/>
            <w:szCs w:val="22"/>
          </w:rPr>
          <w:t>:</w:t>
        </w:r>
      </w:hyperlink>
      <w:r w:rsidR="0004797E" w:rsidRPr="0098330A">
        <w:rPr>
          <w:rFonts w:asciiTheme="majorHAnsi" w:hAnsiTheme="majorHAnsi" w:cstheme="majorHAnsi"/>
          <w:color w:val="2F2A20"/>
          <w:sz w:val="22"/>
          <w:szCs w:val="22"/>
        </w:rPr>
        <w:t xml:space="preserve">  Named for biologist Samuel Nabrit, Brown's first African-American PhD recipient, the BGSA promotes the intellectual and social environment, and professional success, of Brown's African American graduate students. </w:t>
      </w:r>
      <w:r w:rsidR="00C61A8A" w:rsidRP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Membership is open to all Brown graduate students.</w:t>
      </w:r>
    </w:p>
    <w:p w14:paraId="1F06D9D4" w14:textId="5744AA05" w:rsidR="0004797E" w:rsidRPr="0098330A" w:rsidRDefault="001F153D" w:rsidP="0098330A">
      <w:pPr>
        <w:numPr>
          <w:ilvl w:val="0"/>
          <w:numId w:val="19"/>
        </w:numPr>
        <w:shd w:val="clear" w:color="auto" w:fill="FFFFFF"/>
        <w:ind w:left="360"/>
        <w:rPr>
          <w:rFonts w:asciiTheme="majorHAnsi" w:hAnsiTheme="majorHAnsi" w:cstheme="majorHAnsi"/>
          <w:color w:val="2F2A20"/>
          <w:sz w:val="22"/>
          <w:szCs w:val="22"/>
        </w:rPr>
      </w:pPr>
      <w:hyperlink r:id="rId20" w:tgtFrame="_blank" w:history="1">
        <w:r w:rsidR="0004797E" w:rsidRPr="0098330A">
          <w:rPr>
            <w:rStyle w:val="Hyperlink"/>
            <w:rFonts w:asciiTheme="majorHAnsi" w:hAnsiTheme="majorHAnsi" w:cstheme="majorHAnsi"/>
            <w:b/>
            <w:bCs/>
            <w:color w:val="996666"/>
            <w:sz w:val="22"/>
            <w:szCs w:val="22"/>
          </w:rPr>
          <w:t>Women in Science and Engineering (</w:t>
        </w:r>
        <w:proofErr w:type="spellStart"/>
        <w:r w:rsidR="0004797E" w:rsidRPr="0098330A">
          <w:rPr>
            <w:rStyle w:val="Hyperlink"/>
            <w:rFonts w:asciiTheme="majorHAnsi" w:hAnsiTheme="majorHAnsi" w:cstheme="majorHAnsi"/>
            <w:b/>
            <w:bCs/>
            <w:color w:val="996666"/>
            <w:sz w:val="22"/>
            <w:szCs w:val="22"/>
          </w:rPr>
          <w:t>WiSE</w:t>
        </w:r>
        <w:proofErr w:type="spellEnd"/>
        <w:r w:rsidR="0004797E" w:rsidRPr="0098330A">
          <w:rPr>
            <w:rStyle w:val="Hyperlink"/>
            <w:rFonts w:asciiTheme="majorHAnsi" w:hAnsiTheme="majorHAnsi" w:cstheme="majorHAnsi"/>
            <w:b/>
            <w:bCs/>
            <w:color w:val="996666"/>
            <w:sz w:val="22"/>
            <w:szCs w:val="22"/>
          </w:rPr>
          <w:t xml:space="preserve">):  </w:t>
        </w:r>
      </w:hyperlink>
      <w:r w:rsidR="0004797E" w:rsidRPr="0098330A">
        <w:rPr>
          <w:rFonts w:asciiTheme="majorHAnsi" w:hAnsiTheme="majorHAnsi" w:cstheme="majorHAnsi"/>
          <w:color w:val="2F2A20"/>
          <w:sz w:val="22"/>
          <w:szCs w:val="22"/>
        </w:rPr>
        <w:t>This group</w:t>
      </w:r>
      <w:r w:rsidR="0004797E" w:rsidRPr="0098330A">
        <w:rPr>
          <w:rStyle w:val="Strong"/>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 xml:space="preserve">helps create a community of and for women in the sciences at Brown University and increases the number of resources women in the STEM fields at Brown have available to them.  Originally founded for undergraduates, </w:t>
      </w:r>
      <w:r w:rsidR="0098330A" w:rsidRPr="0098330A">
        <w:rPr>
          <w:rFonts w:asciiTheme="majorHAnsi" w:hAnsiTheme="majorHAnsi" w:cstheme="majorHAnsi"/>
          <w:color w:val="2F2A20"/>
          <w:sz w:val="22"/>
          <w:szCs w:val="22"/>
        </w:rPr>
        <w:t xml:space="preserve">it now has </w:t>
      </w:r>
      <w:r w:rsidR="0004797E" w:rsidRPr="0098330A">
        <w:rPr>
          <w:rFonts w:asciiTheme="majorHAnsi" w:hAnsiTheme="majorHAnsi" w:cstheme="majorHAnsi"/>
          <w:color w:val="2F2A20"/>
          <w:sz w:val="22"/>
          <w:szCs w:val="22"/>
        </w:rPr>
        <w:t>a graduate student affinity group</w:t>
      </w:r>
      <w:r w:rsidR="0098330A" w:rsidRPr="0098330A">
        <w:rPr>
          <w:rFonts w:asciiTheme="majorHAnsi" w:hAnsiTheme="majorHAnsi" w:cstheme="majorHAnsi"/>
          <w:color w:val="2F2A20"/>
          <w:sz w:val="22"/>
          <w:szCs w:val="22"/>
        </w:rPr>
        <w:t>,</w:t>
      </w:r>
      <w:r w:rsidR="0004797E" w:rsidRPr="0098330A">
        <w:rPr>
          <w:rFonts w:asciiTheme="majorHAnsi" w:hAnsiTheme="majorHAnsi" w:cstheme="majorHAnsi"/>
          <w:color w:val="2F2A20"/>
          <w:sz w:val="22"/>
          <w:szCs w:val="22"/>
        </w:rPr>
        <w:t xml:space="preserve"> </w:t>
      </w:r>
      <w:proofErr w:type="spellStart"/>
      <w:r w:rsidR="0004797E" w:rsidRPr="0098330A">
        <w:rPr>
          <w:rStyle w:val="Strong"/>
          <w:rFonts w:asciiTheme="majorHAnsi" w:hAnsiTheme="majorHAnsi" w:cstheme="majorHAnsi"/>
          <w:color w:val="2F2A20"/>
          <w:sz w:val="22"/>
          <w:szCs w:val="22"/>
        </w:rPr>
        <w:t>GWiSE</w:t>
      </w:r>
      <w:proofErr w:type="spellEnd"/>
      <w:r w:rsidR="0098330A" w:rsidRPr="0098330A">
        <w:rPr>
          <w:rFonts w:asciiTheme="majorHAnsi" w:hAnsiTheme="majorHAnsi" w:cstheme="majorHAnsi"/>
          <w:color w:val="2F2A20"/>
          <w:sz w:val="22"/>
          <w:szCs w:val="22"/>
        </w:rPr>
        <w:t>.</w:t>
      </w:r>
      <w:r w:rsidR="0004797E" w:rsidRPr="0098330A">
        <w:rPr>
          <w:rFonts w:asciiTheme="majorHAnsi" w:hAnsiTheme="majorHAnsi" w:cstheme="majorHAnsi"/>
          <w:color w:val="2F2A20"/>
          <w:sz w:val="22"/>
          <w:szCs w:val="22"/>
        </w:rPr>
        <w:t xml:space="preserve"> </w:t>
      </w:r>
    </w:p>
    <w:p w14:paraId="64DF592E" w14:textId="34A24362" w:rsidR="0004797E" w:rsidRPr="0098330A" w:rsidRDefault="001F153D" w:rsidP="0098330A">
      <w:pPr>
        <w:numPr>
          <w:ilvl w:val="0"/>
          <w:numId w:val="19"/>
        </w:numPr>
        <w:shd w:val="clear" w:color="auto" w:fill="FFFFFF"/>
        <w:ind w:left="360"/>
        <w:rPr>
          <w:rFonts w:asciiTheme="majorHAnsi" w:hAnsiTheme="majorHAnsi" w:cstheme="majorHAnsi"/>
          <w:color w:val="2F2A20"/>
          <w:sz w:val="22"/>
          <w:szCs w:val="22"/>
        </w:rPr>
      </w:pPr>
      <w:hyperlink r:id="rId21" w:tgtFrame="_blank" w:history="1">
        <w:r w:rsidR="0004797E" w:rsidRPr="0098330A">
          <w:rPr>
            <w:rStyle w:val="Hyperlink"/>
            <w:rFonts w:asciiTheme="majorHAnsi" w:hAnsiTheme="majorHAnsi" w:cstheme="majorHAnsi"/>
            <w:b/>
            <w:bCs/>
            <w:color w:val="996666"/>
            <w:sz w:val="22"/>
            <w:szCs w:val="22"/>
          </w:rPr>
          <w:t>Center for the Study of Race and Ethnicity</w:t>
        </w:r>
      </w:hyperlink>
      <w:hyperlink r:id="rId22" w:tgtFrame="_blank" w:history="1">
        <w:r w:rsidR="0004797E" w:rsidRPr="0098330A">
          <w:rPr>
            <w:rStyle w:val="Hyperlink"/>
            <w:rFonts w:asciiTheme="majorHAnsi" w:hAnsiTheme="majorHAnsi" w:cstheme="majorHAnsi"/>
            <w:color w:val="996666"/>
            <w:sz w:val="22"/>
            <w:szCs w:val="22"/>
          </w:rPr>
          <w:t>:</w:t>
        </w:r>
      </w:hyperlink>
      <w:r w:rsidR="0004797E" w:rsidRPr="0098330A">
        <w:rPr>
          <w:rFonts w:asciiTheme="majorHAnsi" w:hAnsiTheme="majorHAnsi" w:cstheme="majorHAnsi"/>
          <w:color w:val="2F2A20"/>
          <w:sz w:val="22"/>
          <w:szCs w:val="22"/>
        </w:rPr>
        <w:t xml:space="preserve"> </w:t>
      </w:r>
      <w:r w:rsidR="0098330A">
        <w:rPr>
          <w:rFonts w:asciiTheme="majorHAnsi" w:hAnsiTheme="majorHAnsi" w:cstheme="majorHAnsi"/>
          <w:color w:val="2F2A20"/>
          <w:sz w:val="22"/>
          <w:szCs w:val="22"/>
        </w:rPr>
        <w:t xml:space="preserve"> </w:t>
      </w:r>
      <w:r w:rsidR="0004797E" w:rsidRPr="0098330A">
        <w:rPr>
          <w:rFonts w:asciiTheme="majorHAnsi" w:hAnsiTheme="majorHAnsi" w:cstheme="majorHAnsi"/>
          <w:color w:val="2F2A20"/>
          <w:sz w:val="22"/>
          <w:szCs w:val="22"/>
        </w:rPr>
        <w:t>The Center for the Study of Race and Ethnicity in America promotes research, art and scholarship in the areas of race and ethnicity.</w:t>
      </w:r>
    </w:p>
    <w:p w14:paraId="676D1845" w14:textId="4C4239AC" w:rsidR="0004797E" w:rsidRPr="0098330A" w:rsidRDefault="00B84840" w:rsidP="00B84840">
      <w:pPr>
        <w:pStyle w:val="ListParagraph"/>
        <w:numPr>
          <w:ilvl w:val="0"/>
          <w:numId w:val="19"/>
        </w:numPr>
        <w:ind w:left="360"/>
        <w:rPr>
          <w:rFonts w:asciiTheme="majorHAnsi" w:hAnsiTheme="majorHAnsi" w:cstheme="majorHAnsi"/>
          <w:sz w:val="22"/>
          <w:szCs w:val="22"/>
        </w:rPr>
      </w:pPr>
      <w:r w:rsidRPr="0098330A">
        <w:rPr>
          <w:rStyle w:val="Hyperlink"/>
          <w:rFonts w:asciiTheme="majorHAnsi" w:hAnsiTheme="majorHAnsi" w:cstheme="majorHAnsi"/>
          <w:b/>
          <w:bCs/>
          <w:color w:val="996666"/>
          <w:sz w:val="22"/>
          <w:szCs w:val="22"/>
        </w:rPr>
        <w:t>The Office of Military-Affiliated Students</w:t>
      </w:r>
      <w:r w:rsidRPr="0098330A">
        <w:rPr>
          <w:rFonts w:asciiTheme="majorHAnsi" w:hAnsiTheme="majorHAnsi" w:cstheme="majorHAnsi"/>
          <w:color w:val="222222"/>
          <w:sz w:val="22"/>
          <w:szCs w:val="22"/>
          <w:shd w:val="clear" w:color="auto" w:fill="FFFFFF"/>
        </w:rPr>
        <w:t xml:space="preserve"> </w:t>
      </w:r>
      <w:hyperlink r:id="rId23" w:history="1">
        <w:r w:rsidRPr="0098330A">
          <w:rPr>
            <w:rStyle w:val="Hyperlink"/>
            <w:rFonts w:asciiTheme="majorHAnsi" w:hAnsiTheme="majorHAnsi" w:cstheme="majorHAnsi"/>
            <w:sz w:val="22"/>
            <w:szCs w:val="22"/>
          </w:rPr>
          <w:t>https://www.brown.edu/campus-life/support/military-affiliated-students/</w:t>
        </w:r>
      </w:hyperlink>
      <w:r w:rsidRPr="0098330A">
        <w:rPr>
          <w:rFonts w:asciiTheme="majorHAnsi" w:hAnsiTheme="majorHAnsi" w:cstheme="majorHAnsi"/>
          <w:sz w:val="22"/>
          <w:szCs w:val="22"/>
        </w:rPr>
        <w:t xml:space="preserve"> provides </w:t>
      </w:r>
      <w:r w:rsidR="0004797E" w:rsidRPr="0098330A">
        <w:rPr>
          <w:rFonts w:asciiTheme="majorHAnsi" w:hAnsiTheme="majorHAnsi" w:cstheme="majorHAnsi"/>
          <w:color w:val="2F2A20"/>
          <w:sz w:val="22"/>
          <w:szCs w:val="22"/>
        </w:rPr>
        <w:t>support for student veterans and current or prospective participants in officer commissioning programs at Brown.</w:t>
      </w:r>
    </w:p>
    <w:p w14:paraId="5B622296" w14:textId="2E0D305A" w:rsidR="00595BCF" w:rsidRPr="0098330A" w:rsidRDefault="001F153D" w:rsidP="0098330A">
      <w:pPr>
        <w:pStyle w:val="ListParagraph"/>
        <w:numPr>
          <w:ilvl w:val="0"/>
          <w:numId w:val="19"/>
        </w:numPr>
        <w:ind w:left="360"/>
        <w:rPr>
          <w:rFonts w:asciiTheme="majorHAnsi" w:hAnsiTheme="majorHAnsi" w:cstheme="majorHAnsi"/>
          <w:sz w:val="22"/>
          <w:szCs w:val="22"/>
        </w:rPr>
      </w:pPr>
      <w:hyperlink r:id="rId24" w:tgtFrame="_blank" w:history="1">
        <w:r w:rsidR="0004797E" w:rsidRPr="0098330A">
          <w:rPr>
            <w:rStyle w:val="Hyperlink"/>
            <w:rFonts w:asciiTheme="majorHAnsi" w:hAnsiTheme="majorHAnsi" w:cstheme="majorHAnsi"/>
            <w:b/>
            <w:bCs/>
            <w:color w:val="996666"/>
            <w:sz w:val="22"/>
            <w:szCs w:val="22"/>
          </w:rPr>
          <w:t>LGBTQ Center: </w:t>
        </w:r>
      </w:hyperlink>
      <w:r w:rsidR="00B84840" w:rsidRPr="0098330A">
        <w:rPr>
          <w:rStyle w:val="Hyperlink"/>
          <w:rFonts w:asciiTheme="majorHAnsi" w:hAnsiTheme="majorHAnsi" w:cstheme="majorHAnsi"/>
          <w:color w:val="996666"/>
          <w:sz w:val="22"/>
          <w:szCs w:val="22"/>
          <w:u w:val="none"/>
        </w:rPr>
        <w:t xml:space="preserve"> </w:t>
      </w:r>
      <w:r w:rsidR="0004797E" w:rsidRPr="0098330A">
        <w:rPr>
          <w:rFonts w:asciiTheme="majorHAnsi" w:hAnsiTheme="majorHAnsi" w:cstheme="majorHAnsi"/>
          <w:color w:val="2F2A20"/>
          <w:sz w:val="22"/>
          <w:szCs w:val="22"/>
        </w:rPr>
        <w:t>This center, and the </w:t>
      </w:r>
      <w:hyperlink r:id="rId25" w:tgtFrame="_blank" w:history="1">
        <w:r w:rsidR="0004797E" w:rsidRPr="0098330A">
          <w:rPr>
            <w:rStyle w:val="Hyperlink"/>
            <w:rFonts w:asciiTheme="majorHAnsi" w:hAnsiTheme="majorHAnsi" w:cstheme="majorHAnsi"/>
            <w:color w:val="996666"/>
            <w:sz w:val="22"/>
            <w:szCs w:val="22"/>
          </w:rPr>
          <w:t>Sarah Doyle Women's Center</w:t>
        </w:r>
      </w:hyperlink>
      <w:r w:rsidR="0004797E" w:rsidRPr="0098330A">
        <w:rPr>
          <w:rFonts w:asciiTheme="majorHAnsi" w:hAnsiTheme="majorHAnsi" w:cstheme="majorHAnsi"/>
          <w:color w:val="2F2A20"/>
          <w:sz w:val="22"/>
          <w:szCs w:val="22"/>
        </w:rPr>
        <w:t xml:space="preserve">, work together to provide support, resources and advocacy to promote an open, safe and inclusive environment for lesbian, gay, bisexual, transgender, queer and questioning students, faculty and staff at Brown.  This center also </w:t>
      </w:r>
      <w:proofErr w:type="spellStart"/>
      <w:r w:rsidR="0004797E" w:rsidRPr="0098330A">
        <w:rPr>
          <w:rFonts w:asciiTheme="majorHAnsi" w:hAnsiTheme="majorHAnsi" w:cstheme="majorHAnsi"/>
          <w:color w:val="2F2A20"/>
          <w:sz w:val="22"/>
          <w:szCs w:val="22"/>
        </w:rPr>
        <w:t>supports</w:t>
      </w:r>
      <w:hyperlink r:id="rId26" w:tgtFrame="_blank" w:history="1">
        <w:r w:rsidR="0004797E" w:rsidRPr="0098330A">
          <w:rPr>
            <w:rStyle w:val="Hyperlink"/>
            <w:rFonts w:asciiTheme="majorHAnsi" w:hAnsiTheme="majorHAnsi" w:cstheme="majorHAnsi"/>
            <w:color w:val="996666"/>
            <w:sz w:val="22"/>
            <w:szCs w:val="22"/>
          </w:rPr>
          <w:t>"Trans</w:t>
        </w:r>
        <w:proofErr w:type="spellEnd"/>
        <w:r w:rsidR="0004797E" w:rsidRPr="0098330A">
          <w:rPr>
            <w:rStyle w:val="Hyperlink"/>
            <w:rFonts w:asciiTheme="majorHAnsi" w:hAnsiTheme="majorHAnsi" w:cstheme="majorHAnsi"/>
            <w:color w:val="996666"/>
            <w:sz w:val="22"/>
            <w:szCs w:val="22"/>
          </w:rPr>
          <w:t>" resources at Brown,</w:t>
        </w:r>
      </w:hyperlink>
      <w:r w:rsidR="0004797E" w:rsidRPr="0098330A">
        <w:rPr>
          <w:rFonts w:asciiTheme="majorHAnsi" w:hAnsiTheme="majorHAnsi" w:cstheme="majorHAnsi"/>
          <w:color w:val="2F2A20"/>
          <w:sz w:val="22"/>
          <w:szCs w:val="22"/>
        </w:rPr>
        <w:t xml:space="preserve"> as well as the </w:t>
      </w:r>
      <w:hyperlink r:id="rId27" w:tgtFrame="_blank" w:history="1">
        <w:r w:rsidR="0004797E" w:rsidRPr="0098330A">
          <w:rPr>
            <w:rStyle w:val="Hyperlink"/>
            <w:rFonts w:asciiTheme="majorHAnsi" w:hAnsiTheme="majorHAnsi" w:cstheme="majorHAnsi"/>
            <w:color w:val="996666"/>
            <w:sz w:val="22"/>
            <w:szCs w:val="22"/>
          </w:rPr>
          <w:t>Brown Safe Zone</w:t>
        </w:r>
      </w:hyperlink>
      <w:r w:rsidR="0004797E" w:rsidRPr="0098330A">
        <w:rPr>
          <w:rFonts w:asciiTheme="majorHAnsi" w:hAnsiTheme="majorHAnsi" w:cstheme="majorHAnsi"/>
          <w:color w:val="2F2A20"/>
          <w:sz w:val="22"/>
          <w:szCs w:val="22"/>
        </w:rPr>
        <w:t xml:space="preserve"> program</w:t>
      </w:r>
      <w:r w:rsidR="00595BCF" w:rsidRPr="0098330A">
        <w:rPr>
          <w:rFonts w:asciiTheme="majorHAnsi" w:hAnsiTheme="majorHAnsi" w:cstheme="majorHAnsi"/>
          <w:color w:val="2F2A20"/>
          <w:sz w:val="22"/>
          <w:szCs w:val="22"/>
        </w:rPr>
        <w:t>.</w:t>
      </w:r>
      <w:r w:rsidR="00B84840" w:rsidRPr="0098330A">
        <w:rPr>
          <w:rFonts w:asciiTheme="majorHAnsi" w:hAnsiTheme="majorHAnsi" w:cstheme="majorHAnsi"/>
          <w:color w:val="2F2A20"/>
          <w:sz w:val="22"/>
          <w:szCs w:val="22"/>
        </w:rPr>
        <w:t xml:space="preserve">  In addition, </w:t>
      </w:r>
      <w:hyperlink r:id="rId28" w:tgtFrame="_blank" w:history="1">
        <w:proofErr w:type="spellStart"/>
        <w:r w:rsidR="00B84840" w:rsidRPr="0098330A">
          <w:rPr>
            <w:rStyle w:val="Hyperlink"/>
            <w:rFonts w:asciiTheme="majorHAnsi" w:hAnsiTheme="majorHAnsi" w:cstheme="majorHAnsi"/>
            <w:b/>
            <w:bCs/>
            <w:color w:val="996666"/>
            <w:sz w:val="22"/>
            <w:szCs w:val="22"/>
          </w:rPr>
          <w:t>oSTEM</w:t>
        </w:r>
        <w:proofErr w:type="spellEnd"/>
        <w:r w:rsidR="00B84840" w:rsidRPr="0098330A">
          <w:rPr>
            <w:rStyle w:val="Hyperlink"/>
            <w:rFonts w:asciiTheme="majorHAnsi" w:hAnsiTheme="majorHAnsi" w:cstheme="majorHAnsi"/>
            <w:b/>
            <w:bCs/>
            <w:color w:val="996666"/>
            <w:sz w:val="22"/>
            <w:szCs w:val="22"/>
          </w:rPr>
          <w:t> </w:t>
        </w:r>
      </w:hyperlink>
      <w:r w:rsidR="00B84840" w:rsidRPr="0098330A">
        <w:rPr>
          <w:rStyle w:val="Hyperlink"/>
          <w:rFonts w:asciiTheme="majorHAnsi" w:hAnsiTheme="majorHAnsi" w:cstheme="majorHAnsi"/>
          <w:b/>
          <w:bCs/>
          <w:color w:val="996666"/>
          <w:sz w:val="22"/>
          <w:szCs w:val="22"/>
        </w:rPr>
        <w:t xml:space="preserve"> </w:t>
      </w:r>
      <w:r w:rsidR="00B84840" w:rsidRPr="0098330A">
        <w:rPr>
          <w:rFonts w:asciiTheme="majorHAnsi" w:hAnsiTheme="majorHAnsi" w:cstheme="majorHAnsi"/>
          <w:sz w:val="22"/>
          <w:szCs w:val="22"/>
        </w:rPr>
        <w:t>addresses LGBTQ issues in the STEM fields (Science, Technology, Engineering and Medicine).</w:t>
      </w:r>
    </w:p>
    <w:p w14:paraId="6B74C2B5" w14:textId="77777777" w:rsidR="00A07D88" w:rsidRPr="00AB6B77" w:rsidRDefault="00A07D88" w:rsidP="0098330A">
      <w:pPr>
        <w:jc w:val="both"/>
        <w:rPr>
          <w:rFonts w:asciiTheme="majorHAnsi" w:hAnsiTheme="majorHAnsi" w:cstheme="majorHAnsi"/>
          <w:color w:val="000000"/>
          <w:sz w:val="22"/>
          <w:szCs w:val="22"/>
        </w:rPr>
      </w:pPr>
    </w:p>
    <w:p w14:paraId="28301BC2" w14:textId="77777777" w:rsidR="00595BCF" w:rsidRPr="00AB6B77" w:rsidRDefault="00595BCF" w:rsidP="0098330A">
      <w:pPr>
        <w:ind w:right="6336"/>
        <w:jc w:val="both"/>
        <w:rPr>
          <w:rFonts w:asciiTheme="majorHAnsi" w:hAnsiTheme="majorHAnsi" w:cstheme="majorHAnsi"/>
          <w:b/>
          <w:color w:val="000000"/>
          <w:sz w:val="22"/>
          <w:szCs w:val="22"/>
        </w:rPr>
      </w:pPr>
    </w:p>
    <w:p w14:paraId="54167192" w14:textId="7EB078DF" w:rsidR="008E248A" w:rsidRPr="0098330A" w:rsidRDefault="0095641C" w:rsidP="008E248A">
      <w:pPr>
        <w:ind w:right="6336"/>
        <w:jc w:val="both"/>
        <w:rPr>
          <w:rFonts w:asciiTheme="majorHAnsi" w:hAnsiTheme="majorHAnsi" w:cstheme="majorHAnsi"/>
          <w:b/>
          <w:color w:val="000000"/>
          <w:sz w:val="22"/>
          <w:szCs w:val="22"/>
        </w:rPr>
      </w:pPr>
      <w:r w:rsidRPr="0098330A">
        <w:rPr>
          <w:rFonts w:asciiTheme="majorHAnsi" w:hAnsiTheme="majorHAnsi" w:cstheme="majorHAnsi"/>
          <w:b/>
          <w:color w:val="000000"/>
          <w:sz w:val="22"/>
          <w:szCs w:val="22"/>
        </w:rPr>
        <w:t>I</w:t>
      </w:r>
      <w:r w:rsidR="008E248A" w:rsidRPr="0098330A">
        <w:rPr>
          <w:rFonts w:asciiTheme="majorHAnsi" w:hAnsiTheme="majorHAnsi" w:cstheme="majorHAnsi"/>
          <w:b/>
          <w:color w:val="000000"/>
          <w:sz w:val="22"/>
          <w:szCs w:val="22"/>
        </w:rPr>
        <w:t>V. Course of Study</w:t>
      </w:r>
    </w:p>
    <w:p w14:paraId="7C0FCFAB" w14:textId="77777777" w:rsidR="008E248A" w:rsidRPr="00CC4885" w:rsidRDefault="008E248A" w:rsidP="008E248A">
      <w:pPr>
        <w:jc w:val="both"/>
        <w:rPr>
          <w:rFonts w:asciiTheme="majorHAnsi" w:hAnsiTheme="majorHAnsi" w:cstheme="majorHAnsi"/>
          <w:color w:val="000000"/>
        </w:rPr>
      </w:pPr>
    </w:p>
    <w:p w14:paraId="39172F4E" w14:textId="604EB04F" w:rsidR="005E1C7A" w:rsidRPr="0098330A" w:rsidRDefault="008E248A" w:rsidP="008E248A">
      <w:pPr>
        <w:jc w:val="both"/>
        <w:rPr>
          <w:rFonts w:asciiTheme="majorHAnsi" w:hAnsiTheme="majorHAnsi" w:cstheme="majorHAnsi"/>
          <w:sz w:val="22"/>
          <w:szCs w:val="22"/>
        </w:rPr>
      </w:pPr>
      <w:r w:rsidRPr="0098330A">
        <w:rPr>
          <w:rFonts w:asciiTheme="majorHAnsi" w:hAnsiTheme="majorHAnsi" w:cstheme="majorHAnsi"/>
          <w:color w:val="000000"/>
          <w:sz w:val="22"/>
          <w:szCs w:val="22"/>
        </w:rPr>
        <w:t xml:space="preserve">The University requires 24 course credits for graduation at the </w:t>
      </w:r>
      <w:r w:rsidR="00FD7A5A" w:rsidRPr="0098330A">
        <w:rPr>
          <w:rFonts w:asciiTheme="majorHAnsi" w:hAnsiTheme="majorHAnsi" w:cstheme="majorHAnsi"/>
          <w:color w:val="000000"/>
          <w:sz w:val="22"/>
          <w:szCs w:val="22"/>
        </w:rPr>
        <w:t>PhD</w:t>
      </w:r>
      <w:r w:rsidRPr="0098330A">
        <w:rPr>
          <w:rFonts w:asciiTheme="majorHAnsi" w:hAnsiTheme="majorHAnsi" w:cstheme="majorHAnsi"/>
          <w:color w:val="000000"/>
          <w:sz w:val="22"/>
          <w:szCs w:val="22"/>
        </w:rPr>
        <w:t xml:space="preserve"> level, of which a maximum of 8 can be transferred from other institutions. Courses must be taken for a grade rather than on a </w:t>
      </w:r>
      <w:r w:rsidR="00635265" w:rsidRPr="0098330A">
        <w:rPr>
          <w:rFonts w:asciiTheme="majorHAnsi" w:hAnsiTheme="majorHAnsi" w:cstheme="majorHAnsi"/>
          <w:color w:val="000000"/>
          <w:sz w:val="22"/>
          <w:szCs w:val="22"/>
        </w:rPr>
        <w:t>satisfactory</w:t>
      </w:r>
      <w:r w:rsidRPr="0098330A">
        <w:rPr>
          <w:rFonts w:asciiTheme="majorHAnsi" w:hAnsiTheme="majorHAnsi" w:cstheme="majorHAnsi"/>
          <w:color w:val="000000"/>
          <w:sz w:val="22"/>
          <w:szCs w:val="22"/>
        </w:rPr>
        <w:t xml:space="preserve">/no credit </w:t>
      </w:r>
      <w:r w:rsidR="00635265" w:rsidRPr="0098330A">
        <w:rPr>
          <w:rFonts w:asciiTheme="majorHAnsi" w:hAnsiTheme="majorHAnsi" w:cstheme="majorHAnsi"/>
          <w:color w:val="000000"/>
          <w:sz w:val="22"/>
          <w:szCs w:val="22"/>
        </w:rPr>
        <w:t xml:space="preserve">(S/NC) </w:t>
      </w:r>
      <w:r w:rsidRPr="0098330A">
        <w:rPr>
          <w:rFonts w:asciiTheme="majorHAnsi" w:hAnsiTheme="majorHAnsi" w:cstheme="majorHAnsi"/>
          <w:color w:val="000000"/>
          <w:sz w:val="22"/>
          <w:szCs w:val="22"/>
        </w:rPr>
        <w:t>basis</w:t>
      </w:r>
      <w:r w:rsidR="009D010B" w:rsidRPr="0098330A">
        <w:rPr>
          <w:rFonts w:asciiTheme="majorHAnsi" w:hAnsiTheme="majorHAnsi" w:cstheme="majorHAnsi"/>
          <w:color w:val="000000"/>
          <w:sz w:val="22"/>
          <w:szCs w:val="22"/>
        </w:rPr>
        <w:t xml:space="preserve"> (see </w:t>
      </w:r>
      <w:r w:rsidR="0012043C" w:rsidRPr="0098330A">
        <w:rPr>
          <w:rFonts w:asciiTheme="majorHAnsi" w:hAnsiTheme="majorHAnsi" w:cstheme="majorHAnsi"/>
          <w:color w:val="000000"/>
          <w:sz w:val="22"/>
          <w:szCs w:val="22"/>
        </w:rPr>
        <w:t xml:space="preserve">next section </w:t>
      </w:r>
      <w:r w:rsidR="009D010B" w:rsidRPr="0098330A">
        <w:rPr>
          <w:rFonts w:asciiTheme="majorHAnsi" w:hAnsiTheme="majorHAnsi" w:cstheme="majorHAnsi"/>
          <w:color w:val="000000"/>
          <w:sz w:val="22"/>
          <w:szCs w:val="22"/>
        </w:rPr>
        <w:t>re. mandatory S/NC courses)</w:t>
      </w:r>
      <w:r w:rsidRPr="0098330A">
        <w:rPr>
          <w:rFonts w:asciiTheme="majorHAnsi" w:hAnsiTheme="majorHAnsi" w:cstheme="majorHAnsi"/>
          <w:color w:val="000000"/>
          <w:sz w:val="22"/>
          <w:szCs w:val="22"/>
        </w:rPr>
        <w:t xml:space="preserve">. </w:t>
      </w:r>
      <w:r w:rsidR="00852C11" w:rsidRPr="0098330A">
        <w:rPr>
          <w:rFonts w:asciiTheme="majorHAnsi" w:hAnsiTheme="majorHAnsi" w:cstheme="majorHAnsi"/>
          <w:color w:val="000000"/>
          <w:sz w:val="22"/>
          <w:szCs w:val="22"/>
        </w:rPr>
        <w:t xml:space="preserve"> </w:t>
      </w:r>
      <w:r w:rsidRPr="0098330A">
        <w:rPr>
          <w:rFonts w:asciiTheme="majorHAnsi" w:hAnsiTheme="majorHAnsi" w:cstheme="majorHAnsi"/>
          <w:color w:val="000000"/>
          <w:sz w:val="22"/>
          <w:szCs w:val="22"/>
        </w:rPr>
        <w:t xml:space="preserve">Additionally, students in the </w:t>
      </w:r>
      <w:r w:rsidR="00FD7A5A" w:rsidRPr="0098330A">
        <w:rPr>
          <w:rFonts w:asciiTheme="majorHAnsi" w:hAnsiTheme="majorHAnsi" w:cstheme="majorHAnsi"/>
          <w:color w:val="000000"/>
          <w:sz w:val="22"/>
          <w:szCs w:val="22"/>
        </w:rPr>
        <w:t>MD</w:t>
      </w:r>
      <w:r w:rsidRPr="0098330A">
        <w:rPr>
          <w:rFonts w:asciiTheme="majorHAnsi" w:hAnsiTheme="majorHAnsi" w:cstheme="majorHAnsi"/>
          <w:color w:val="000000"/>
          <w:sz w:val="22"/>
          <w:szCs w:val="22"/>
        </w:rPr>
        <w:t>/</w:t>
      </w:r>
      <w:r w:rsidR="00FD7A5A" w:rsidRPr="0098330A">
        <w:rPr>
          <w:rFonts w:asciiTheme="majorHAnsi" w:hAnsiTheme="majorHAnsi" w:cstheme="majorHAnsi"/>
          <w:color w:val="000000"/>
          <w:sz w:val="22"/>
          <w:szCs w:val="22"/>
        </w:rPr>
        <w:t>PhD</w:t>
      </w:r>
      <w:r w:rsidRPr="0098330A">
        <w:rPr>
          <w:rFonts w:asciiTheme="majorHAnsi" w:hAnsiTheme="majorHAnsi" w:cstheme="majorHAnsi"/>
          <w:color w:val="000000"/>
          <w:sz w:val="22"/>
          <w:szCs w:val="22"/>
        </w:rPr>
        <w:t xml:space="preserve"> program can receive 8 credits for satisfactory completion of the first two years of the Program in Medicine.</w:t>
      </w:r>
      <w:r w:rsidR="00225564" w:rsidRPr="0098330A">
        <w:rPr>
          <w:rFonts w:asciiTheme="majorHAnsi" w:hAnsiTheme="majorHAnsi" w:cstheme="majorHAnsi"/>
          <w:color w:val="000000"/>
          <w:sz w:val="22"/>
          <w:szCs w:val="22"/>
        </w:rPr>
        <w:t xml:space="preserve">  At Brown, each one-semester course is worth one credit, and the normal full-time load is 4 credits per semester</w:t>
      </w:r>
      <w:r w:rsidR="00052666" w:rsidRPr="0098330A">
        <w:rPr>
          <w:rFonts w:asciiTheme="majorHAnsi" w:hAnsiTheme="majorHAnsi" w:cstheme="majorHAnsi"/>
          <w:color w:val="000000"/>
          <w:sz w:val="22"/>
          <w:szCs w:val="22"/>
        </w:rPr>
        <w:t>; students much register for a total of 4 credits each semester to be considered full-time</w:t>
      </w:r>
      <w:r w:rsidR="00225564" w:rsidRPr="0098330A">
        <w:rPr>
          <w:rFonts w:asciiTheme="majorHAnsi" w:hAnsiTheme="majorHAnsi" w:cstheme="majorHAnsi"/>
          <w:color w:val="000000"/>
          <w:sz w:val="22"/>
          <w:szCs w:val="22"/>
        </w:rPr>
        <w:t>.  However, graduate independent study (i.e., research, BIOL 2980) can be taken for up to 4 course</w:t>
      </w:r>
      <w:r w:rsidR="00715887" w:rsidRPr="0098330A">
        <w:rPr>
          <w:rFonts w:asciiTheme="majorHAnsi" w:hAnsiTheme="majorHAnsi" w:cstheme="majorHAnsi"/>
          <w:color w:val="000000"/>
          <w:sz w:val="22"/>
          <w:szCs w:val="22"/>
        </w:rPr>
        <w:t xml:space="preserve"> credit</w:t>
      </w:r>
      <w:r w:rsidR="00225564" w:rsidRPr="0098330A">
        <w:rPr>
          <w:rFonts w:asciiTheme="majorHAnsi" w:hAnsiTheme="majorHAnsi" w:cstheme="majorHAnsi"/>
          <w:color w:val="000000"/>
          <w:sz w:val="22"/>
          <w:szCs w:val="22"/>
        </w:rPr>
        <w:t>s per semester</w:t>
      </w:r>
      <w:r w:rsidR="00500BDF" w:rsidRPr="0098330A">
        <w:rPr>
          <w:rFonts w:asciiTheme="majorHAnsi" w:hAnsiTheme="majorHAnsi" w:cstheme="majorHAnsi"/>
          <w:color w:val="000000"/>
          <w:sz w:val="22"/>
          <w:szCs w:val="22"/>
        </w:rPr>
        <w:t xml:space="preserve">, depending on the number of </w:t>
      </w:r>
      <w:r w:rsidR="00225564" w:rsidRPr="0098330A">
        <w:rPr>
          <w:rFonts w:asciiTheme="majorHAnsi" w:hAnsiTheme="majorHAnsi" w:cstheme="majorHAnsi"/>
          <w:color w:val="000000"/>
          <w:sz w:val="22"/>
          <w:szCs w:val="22"/>
        </w:rPr>
        <w:t>other courses taken in the same semester.</w:t>
      </w:r>
      <w:r w:rsidR="005E1C7A" w:rsidRPr="0098330A">
        <w:rPr>
          <w:rFonts w:asciiTheme="majorHAnsi" w:hAnsiTheme="majorHAnsi" w:cstheme="majorHAnsi"/>
          <w:color w:val="000000"/>
          <w:sz w:val="22"/>
          <w:szCs w:val="22"/>
        </w:rPr>
        <w:t xml:space="preserve">  </w:t>
      </w:r>
      <w:r w:rsidRPr="0098330A">
        <w:rPr>
          <w:rFonts w:asciiTheme="majorHAnsi" w:hAnsiTheme="majorHAnsi" w:cstheme="majorHAnsi"/>
          <w:color w:val="000000"/>
          <w:sz w:val="22"/>
          <w:szCs w:val="22"/>
        </w:rPr>
        <w:t>The success of students depends</w:t>
      </w:r>
      <w:r w:rsidRPr="0098330A">
        <w:rPr>
          <w:rFonts w:asciiTheme="majorHAnsi" w:hAnsiTheme="majorHAnsi" w:cstheme="majorHAnsi"/>
          <w:sz w:val="22"/>
          <w:szCs w:val="22"/>
        </w:rPr>
        <w:t xml:space="preserve"> heavily on the consultation between the students and their advisory committees.</w:t>
      </w:r>
    </w:p>
    <w:p w14:paraId="5526568C" w14:textId="77777777" w:rsidR="008E248A" w:rsidRPr="0098330A" w:rsidRDefault="008E248A" w:rsidP="008E248A">
      <w:pPr>
        <w:jc w:val="both"/>
        <w:rPr>
          <w:rFonts w:asciiTheme="majorHAnsi" w:hAnsiTheme="majorHAnsi" w:cstheme="majorHAnsi"/>
          <w:sz w:val="22"/>
          <w:szCs w:val="22"/>
        </w:rPr>
      </w:pPr>
    </w:p>
    <w:p w14:paraId="1437900C" w14:textId="77777777" w:rsidR="0074060B" w:rsidRPr="0098330A" w:rsidRDefault="0074060B" w:rsidP="008E248A">
      <w:pPr>
        <w:jc w:val="both"/>
        <w:rPr>
          <w:rFonts w:asciiTheme="majorHAnsi" w:hAnsiTheme="majorHAnsi" w:cstheme="majorHAnsi"/>
          <w:sz w:val="22"/>
          <w:szCs w:val="22"/>
        </w:rPr>
      </w:pPr>
    </w:p>
    <w:p w14:paraId="3AD30AFB" w14:textId="5FEBA9BC" w:rsidR="008E248A" w:rsidRPr="0098330A" w:rsidRDefault="00A149C3" w:rsidP="008E248A">
      <w:pPr>
        <w:jc w:val="both"/>
        <w:rPr>
          <w:rFonts w:asciiTheme="majorHAnsi" w:hAnsiTheme="majorHAnsi" w:cstheme="majorHAnsi"/>
          <w:i/>
          <w:sz w:val="22"/>
          <w:szCs w:val="22"/>
          <w:u w:val="single"/>
        </w:rPr>
      </w:pPr>
      <w:r w:rsidRPr="0098330A">
        <w:rPr>
          <w:rFonts w:asciiTheme="majorHAnsi" w:hAnsiTheme="majorHAnsi" w:cstheme="majorHAnsi"/>
          <w:b/>
          <w:color w:val="000000"/>
          <w:sz w:val="22"/>
          <w:szCs w:val="22"/>
        </w:rPr>
        <w:t>IV.A.</w:t>
      </w:r>
      <w:r w:rsidR="00B02465">
        <w:rPr>
          <w:rFonts w:asciiTheme="majorHAnsi" w:hAnsiTheme="majorHAnsi" w:cstheme="majorHAnsi"/>
          <w:b/>
          <w:color w:val="000000"/>
          <w:sz w:val="22"/>
          <w:szCs w:val="22"/>
        </w:rPr>
        <w:t xml:space="preserve"> </w:t>
      </w:r>
      <w:r w:rsidR="00B02465" w:rsidRPr="00B02465">
        <w:rPr>
          <w:rFonts w:asciiTheme="majorHAnsi" w:hAnsiTheme="majorHAnsi" w:cstheme="majorHAnsi"/>
          <w:b/>
          <w:i/>
          <w:iCs/>
          <w:color w:val="000000"/>
          <w:sz w:val="22"/>
          <w:szCs w:val="22"/>
          <w:u w:val="single"/>
        </w:rPr>
        <w:t>TSGP</w:t>
      </w:r>
      <w:r w:rsidRPr="00B02465">
        <w:rPr>
          <w:rFonts w:asciiTheme="majorHAnsi" w:hAnsiTheme="majorHAnsi" w:cstheme="majorHAnsi"/>
          <w:b/>
          <w:i/>
          <w:iCs/>
          <w:color w:val="000000"/>
          <w:sz w:val="22"/>
          <w:szCs w:val="22"/>
          <w:u w:val="single"/>
        </w:rPr>
        <w:t xml:space="preserve"> </w:t>
      </w:r>
      <w:r w:rsidR="005E1C7A" w:rsidRPr="0098330A">
        <w:rPr>
          <w:rFonts w:asciiTheme="majorHAnsi" w:hAnsiTheme="majorHAnsi" w:cstheme="majorHAnsi"/>
          <w:b/>
          <w:i/>
          <w:color w:val="000000"/>
          <w:sz w:val="22"/>
          <w:szCs w:val="22"/>
          <w:u w:val="single"/>
        </w:rPr>
        <w:t>Graded Coursework</w:t>
      </w:r>
    </w:p>
    <w:p w14:paraId="4D591C05" w14:textId="77777777" w:rsidR="008E248A" w:rsidRPr="00AB6B77" w:rsidRDefault="008E248A" w:rsidP="008E248A">
      <w:pPr>
        <w:jc w:val="both"/>
        <w:rPr>
          <w:rFonts w:asciiTheme="majorHAnsi" w:hAnsiTheme="majorHAnsi" w:cstheme="majorHAnsi"/>
          <w:sz w:val="22"/>
          <w:szCs w:val="22"/>
        </w:rPr>
      </w:pPr>
    </w:p>
    <w:p w14:paraId="011CA393" w14:textId="46B12B9B" w:rsidR="00474874" w:rsidRPr="00A52DE5" w:rsidRDefault="00282035" w:rsidP="0098330A">
      <w:pPr>
        <w:spacing w:before="120" w:after="120"/>
        <w:jc w:val="both"/>
        <w:rPr>
          <w:rFonts w:asciiTheme="majorHAnsi" w:hAnsiTheme="majorHAnsi" w:cstheme="majorHAnsi"/>
          <w:sz w:val="22"/>
          <w:szCs w:val="22"/>
        </w:rPr>
      </w:pPr>
      <w:r w:rsidRPr="00A52DE5">
        <w:rPr>
          <w:rFonts w:asciiTheme="majorHAnsi" w:hAnsiTheme="majorHAnsi" w:cstheme="majorHAnsi"/>
          <w:sz w:val="22"/>
          <w:szCs w:val="22"/>
        </w:rPr>
        <w:t xml:space="preserve">The </w:t>
      </w:r>
      <w:r w:rsidR="0098330A" w:rsidRPr="00A52DE5">
        <w:rPr>
          <w:rFonts w:asciiTheme="majorHAnsi" w:hAnsiTheme="majorHAnsi" w:cstheme="majorHAnsi"/>
          <w:sz w:val="22"/>
          <w:szCs w:val="22"/>
        </w:rPr>
        <w:t>Therapeutics</w:t>
      </w:r>
      <w:r w:rsidRPr="00A52DE5">
        <w:rPr>
          <w:rFonts w:asciiTheme="majorHAnsi" w:hAnsiTheme="majorHAnsi" w:cstheme="majorHAnsi"/>
          <w:sz w:val="22"/>
          <w:szCs w:val="22"/>
        </w:rPr>
        <w:t xml:space="preserve"> Graduate Program requires a</w:t>
      </w:r>
      <w:r w:rsidR="00D97728" w:rsidRPr="00A52DE5">
        <w:rPr>
          <w:rFonts w:asciiTheme="majorHAnsi" w:hAnsiTheme="majorHAnsi" w:cstheme="majorHAnsi"/>
          <w:sz w:val="22"/>
          <w:szCs w:val="22"/>
        </w:rPr>
        <w:t xml:space="preserve">ll entering graduate students to complete </w:t>
      </w:r>
      <w:r w:rsidR="0098330A" w:rsidRPr="00A52DE5">
        <w:rPr>
          <w:rFonts w:asciiTheme="majorHAnsi" w:hAnsiTheme="majorHAnsi" w:cstheme="majorHAnsi"/>
          <w:b/>
          <w:i/>
          <w:sz w:val="22"/>
          <w:szCs w:val="22"/>
        </w:rPr>
        <w:t>six didactic</w:t>
      </w:r>
      <w:r w:rsidR="00D97728" w:rsidRPr="00A52DE5">
        <w:rPr>
          <w:rFonts w:asciiTheme="majorHAnsi" w:hAnsiTheme="majorHAnsi" w:cstheme="majorHAnsi"/>
          <w:b/>
          <w:i/>
          <w:sz w:val="22"/>
          <w:szCs w:val="22"/>
        </w:rPr>
        <w:t xml:space="preserve"> courses</w:t>
      </w:r>
      <w:r w:rsidR="00D97728" w:rsidRPr="00A52DE5">
        <w:rPr>
          <w:rFonts w:asciiTheme="majorHAnsi" w:hAnsiTheme="majorHAnsi" w:cstheme="majorHAnsi"/>
          <w:i/>
          <w:sz w:val="22"/>
          <w:szCs w:val="22"/>
        </w:rPr>
        <w:t xml:space="preserve"> </w:t>
      </w:r>
      <w:r w:rsidR="00D97728" w:rsidRPr="00A52DE5">
        <w:rPr>
          <w:rFonts w:asciiTheme="majorHAnsi" w:hAnsiTheme="majorHAnsi" w:cstheme="majorHAnsi"/>
          <w:b/>
          <w:i/>
          <w:sz w:val="22"/>
          <w:szCs w:val="22"/>
        </w:rPr>
        <w:t>and acquire</w:t>
      </w:r>
      <w:r w:rsidR="00D97728" w:rsidRPr="00A52DE5">
        <w:rPr>
          <w:rFonts w:asciiTheme="majorHAnsi" w:hAnsiTheme="majorHAnsi" w:cstheme="majorHAnsi"/>
          <w:i/>
          <w:sz w:val="22"/>
          <w:szCs w:val="22"/>
        </w:rPr>
        <w:t xml:space="preserve"> </w:t>
      </w:r>
      <w:r w:rsidR="00D97728" w:rsidRPr="00A52DE5">
        <w:rPr>
          <w:rFonts w:asciiTheme="majorHAnsi" w:hAnsiTheme="majorHAnsi" w:cstheme="majorHAnsi"/>
          <w:b/>
          <w:i/>
          <w:sz w:val="22"/>
          <w:szCs w:val="22"/>
        </w:rPr>
        <w:t xml:space="preserve">proficiency in the areas of </w:t>
      </w:r>
      <w:r w:rsidR="0098330A" w:rsidRPr="00A52DE5">
        <w:rPr>
          <w:rFonts w:asciiTheme="majorHAnsi" w:hAnsiTheme="majorHAnsi" w:cstheme="majorHAnsi"/>
          <w:b/>
          <w:i/>
          <w:sz w:val="22"/>
          <w:szCs w:val="22"/>
        </w:rPr>
        <w:t xml:space="preserve">therapeutics, </w:t>
      </w:r>
      <w:r w:rsidR="00D97728" w:rsidRPr="00A52DE5">
        <w:rPr>
          <w:rFonts w:asciiTheme="majorHAnsi" w:hAnsiTheme="majorHAnsi" w:cstheme="majorHAnsi"/>
          <w:b/>
          <w:i/>
          <w:sz w:val="22"/>
          <w:szCs w:val="22"/>
        </w:rPr>
        <w:t>pharmacology and physiology</w:t>
      </w:r>
      <w:r w:rsidR="00D97728" w:rsidRPr="00A52DE5">
        <w:rPr>
          <w:rFonts w:asciiTheme="majorHAnsi" w:hAnsiTheme="majorHAnsi" w:cstheme="majorHAnsi"/>
          <w:sz w:val="22"/>
          <w:szCs w:val="22"/>
        </w:rPr>
        <w:t xml:space="preserve">.  These courses must be taken for a grade, and students must earn a B or better.  </w:t>
      </w:r>
      <w:r w:rsidR="009D010B" w:rsidRPr="00A52DE5">
        <w:rPr>
          <w:rFonts w:asciiTheme="majorHAnsi" w:hAnsiTheme="majorHAnsi" w:cstheme="majorHAnsi"/>
          <w:sz w:val="22"/>
          <w:szCs w:val="22"/>
        </w:rPr>
        <w:t xml:space="preserve">If an elective course is only offered pass/fail (mandatory S/NC), the student must provide verification from the instructor that the grade would have been a B or better.  </w:t>
      </w:r>
      <w:r w:rsidR="00D97728" w:rsidRPr="00A52DE5">
        <w:rPr>
          <w:rFonts w:asciiTheme="majorHAnsi" w:hAnsiTheme="majorHAnsi" w:cstheme="majorHAnsi"/>
          <w:sz w:val="22"/>
          <w:szCs w:val="22"/>
        </w:rPr>
        <w:t xml:space="preserve">Failure to obtain a B or better in any of these courses will place the student on </w:t>
      </w:r>
      <w:r w:rsidR="00351F44" w:rsidRPr="00A52DE5">
        <w:rPr>
          <w:rFonts w:asciiTheme="majorHAnsi" w:hAnsiTheme="majorHAnsi" w:cstheme="majorHAnsi"/>
          <w:sz w:val="22"/>
          <w:szCs w:val="22"/>
        </w:rPr>
        <w:t xml:space="preserve">academic </w:t>
      </w:r>
      <w:r w:rsidR="00D97728" w:rsidRPr="00A52DE5">
        <w:rPr>
          <w:rFonts w:asciiTheme="majorHAnsi" w:hAnsiTheme="majorHAnsi" w:cstheme="majorHAnsi"/>
          <w:sz w:val="22"/>
          <w:szCs w:val="22"/>
        </w:rPr>
        <w:t>warning</w:t>
      </w:r>
      <w:r w:rsidR="00BF373F" w:rsidRPr="00A52DE5">
        <w:rPr>
          <w:rFonts w:asciiTheme="majorHAnsi" w:hAnsiTheme="majorHAnsi" w:cstheme="majorHAnsi"/>
          <w:sz w:val="22"/>
          <w:szCs w:val="22"/>
        </w:rPr>
        <w:t xml:space="preserve">.  </w:t>
      </w:r>
      <w:r w:rsidR="004C447F" w:rsidRPr="00A52DE5">
        <w:rPr>
          <w:rFonts w:asciiTheme="majorHAnsi" w:hAnsiTheme="majorHAnsi" w:cstheme="majorHAnsi"/>
          <w:sz w:val="22"/>
          <w:szCs w:val="22"/>
        </w:rPr>
        <w:t>I</w:t>
      </w:r>
      <w:r w:rsidR="00BF373F" w:rsidRPr="00A52DE5">
        <w:rPr>
          <w:rFonts w:asciiTheme="majorHAnsi" w:hAnsiTheme="majorHAnsi" w:cstheme="majorHAnsi"/>
          <w:sz w:val="22"/>
          <w:szCs w:val="22"/>
        </w:rPr>
        <w:t>n consultation with the appropriate Graduate School deans, and, as appropriate, with the Thesis Advisor and</w:t>
      </w:r>
      <w:r w:rsidR="00F86C56" w:rsidRPr="00A52DE5">
        <w:rPr>
          <w:rFonts w:asciiTheme="majorHAnsi" w:hAnsiTheme="majorHAnsi" w:cstheme="majorHAnsi"/>
          <w:sz w:val="22"/>
          <w:szCs w:val="22"/>
        </w:rPr>
        <w:t>/or</w:t>
      </w:r>
      <w:r w:rsidR="00BF373F" w:rsidRPr="00A52DE5">
        <w:rPr>
          <w:rFonts w:asciiTheme="majorHAnsi" w:hAnsiTheme="majorHAnsi" w:cstheme="majorHAnsi"/>
          <w:sz w:val="22"/>
          <w:szCs w:val="22"/>
        </w:rPr>
        <w:t xml:space="preserve"> Thesis Committee,</w:t>
      </w:r>
      <w:r w:rsidR="00D97728" w:rsidRPr="00A52DE5">
        <w:rPr>
          <w:rFonts w:asciiTheme="majorHAnsi" w:hAnsiTheme="majorHAnsi" w:cstheme="majorHAnsi"/>
          <w:sz w:val="22"/>
          <w:szCs w:val="22"/>
        </w:rPr>
        <w:t xml:space="preserve"> </w:t>
      </w:r>
      <w:r w:rsidR="004C447F" w:rsidRPr="00A52DE5">
        <w:rPr>
          <w:rFonts w:asciiTheme="majorHAnsi" w:hAnsiTheme="majorHAnsi" w:cstheme="majorHAnsi"/>
          <w:sz w:val="22"/>
          <w:szCs w:val="22"/>
        </w:rPr>
        <w:t xml:space="preserve">the Graduate Program Committee </w:t>
      </w:r>
      <w:r w:rsidR="00D97728" w:rsidRPr="00A52DE5">
        <w:rPr>
          <w:rFonts w:asciiTheme="majorHAnsi" w:hAnsiTheme="majorHAnsi" w:cstheme="majorHAnsi"/>
          <w:sz w:val="22"/>
          <w:szCs w:val="22"/>
        </w:rPr>
        <w:t xml:space="preserve">will determine what steps are required to provide the </w:t>
      </w:r>
      <w:r w:rsidR="00D97728" w:rsidRPr="00A52DE5">
        <w:rPr>
          <w:rFonts w:asciiTheme="majorHAnsi" w:hAnsiTheme="majorHAnsi" w:cstheme="majorHAnsi"/>
          <w:sz w:val="22"/>
          <w:szCs w:val="22"/>
        </w:rPr>
        <w:lastRenderedPageBreak/>
        <w:t xml:space="preserve">student with the opportunity to improve performance and return to good standing.  </w:t>
      </w:r>
      <w:r w:rsidR="00D97728" w:rsidRPr="00A52DE5">
        <w:rPr>
          <w:rFonts w:asciiTheme="majorHAnsi" w:hAnsiTheme="majorHAnsi" w:cstheme="majorHAnsi"/>
          <w:b/>
          <w:i/>
          <w:sz w:val="22"/>
          <w:szCs w:val="22"/>
        </w:rPr>
        <w:t>In addition, the students must pass a</w:t>
      </w:r>
      <w:r w:rsidR="00B877A7" w:rsidRPr="00A52DE5">
        <w:rPr>
          <w:rFonts w:asciiTheme="majorHAnsi" w:hAnsiTheme="majorHAnsi" w:cstheme="majorHAnsi"/>
          <w:b/>
          <w:i/>
          <w:sz w:val="22"/>
          <w:szCs w:val="22"/>
        </w:rPr>
        <w:t xml:space="preserve"> short,</w:t>
      </w:r>
      <w:r w:rsidR="00D97728" w:rsidRPr="00A52DE5">
        <w:rPr>
          <w:rFonts w:asciiTheme="majorHAnsi" w:hAnsiTheme="majorHAnsi" w:cstheme="majorHAnsi"/>
          <w:b/>
          <w:i/>
          <w:sz w:val="22"/>
          <w:szCs w:val="22"/>
        </w:rPr>
        <w:t xml:space="preserve"> intensive Biostatistics </w:t>
      </w:r>
      <w:r w:rsidR="0098330A" w:rsidRPr="00A52DE5">
        <w:rPr>
          <w:rFonts w:asciiTheme="majorHAnsi" w:hAnsiTheme="majorHAnsi" w:cstheme="majorHAnsi"/>
          <w:b/>
          <w:i/>
          <w:sz w:val="22"/>
          <w:szCs w:val="22"/>
        </w:rPr>
        <w:t>module</w:t>
      </w:r>
      <w:r w:rsidR="00043362" w:rsidRPr="00A52DE5">
        <w:rPr>
          <w:rFonts w:asciiTheme="majorHAnsi" w:hAnsiTheme="majorHAnsi" w:cstheme="majorHAnsi"/>
          <w:b/>
          <w:i/>
          <w:sz w:val="22"/>
          <w:szCs w:val="22"/>
        </w:rPr>
        <w:t xml:space="preserve"> (see below)</w:t>
      </w:r>
      <w:r w:rsidR="0098330A" w:rsidRPr="00A52DE5">
        <w:rPr>
          <w:rFonts w:asciiTheme="majorHAnsi" w:hAnsiTheme="majorHAnsi" w:cstheme="majorHAnsi"/>
          <w:b/>
          <w:i/>
          <w:sz w:val="22"/>
          <w:szCs w:val="22"/>
        </w:rPr>
        <w:t xml:space="preserve"> specifically</w:t>
      </w:r>
      <w:r w:rsidR="00D97728" w:rsidRPr="00A52DE5">
        <w:rPr>
          <w:rFonts w:asciiTheme="majorHAnsi" w:hAnsiTheme="majorHAnsi" w:cstheme="majorHAnsi"/>
          <w:b/>
          <w:i/>
          <w:sz w:val="22"/>
          <w:szCs w:val="22"/>
        </w:rPr>
        <w:t xml:space="preserve"> designed to meet the needs of our students.</w:t>
      </w:r>
      <w:r w:rsidR="00D97728" w:rsidRPr="00A52DE5">
        <w:rPr>
          <w:rFonts w:asciiTheme="majorHAnsi" w:hAnsiTheme="majorHAnsi" w:cstheme="majorHAnsi"/>
          <w:sz w:val="22"/>
          <w:szCs w:val="22"/>
        </w:rPr>
        <w:t xml:space="preserve">  </w:t>
      </w:r>
    </w:p>
    <w:p w14:paraId="50693E08" w14:textId="139CC8CE" w:rsidR="005212C7" w:rsidRPr="00B81DBC" w:rsidRDefault="00474874" w:rsidP="0098330A">
      <w:pPr>
        <w:spacing w:before="120" w:after="120"/>
        <w:jc w:val="both"/>
        <w:rPr>
          <w:rFonts w:asciiTheme="majorHAnsi" w:hAnsiTheme="majorHAnsi" w:cstheme="majorHAnsi"/>
          <w:sz w:val="22"/>
          <w:szCs w:val="22"/>
        </w:rPr>
      </w:pPr>
      <w:r w:rsidRPr="00B81DBC">
        <w:rPr>
          <w:rFonts w:asciiTheme="majorHAnsi" w:hAnsiTheme="majorHAnsi" w:cstheme="majorHAnsi"/>
          <w:sz w:val="22"/>
          <w:szCs w:val="22"/>
        </w:rPr>
        <w:t xml:space="preserve">During the first year, all students </w:t>
      </w:r>
      <w:r w:rsidR="0098330A" w:rsidRPr="00B81DBC">
        <w:rPr>
          <w:rFonts w:asciiTheme="majorHAnsi" w:hAnsiTheme="majorHAnsi" w:cstheme="majorHAnsi"/>
          <w:sz w:val="22"/>
          <w:szCs w:val="22"/>
        </w:rPr>
        <w:t>are required to</w:t>
      </w:r>
      <w:r w:rsidRPr="00B81DBC">
        <w:rPr>
          <w:rFonts w:asciiTheme="majorHAnsi" w:hAnsiTheme="majorHAnsi" w:cstheme="majorHAnsi"/>
          <w:sz w:val="22"/>
          <w:szCs w:val="22"/>
        </w:rPr>
        <w:t xml:space="preserve"> take </w:t>
      </w:r>
      <w:r w:rsidR="0098330A" w:rsidRPr="00B81DBC">
        <w:rPr>
          <w:rFonts w:asciiTheme="majorHAnsi" w:hAnsiTheme="majorHAnsi" w:cstheme="majorHAnsi"/>
          <w:sz w:val="22"/>
          <w:szCs w:val="22"/>
        </w:rPr>
        <w:t>two</w:t>
      </w:r>
      <w:r w:rsidRPr="00B81DBC">
        <w:rPr>
          <w:rFonts w:asciiTheme="majorHAnsi" w:hAnsiTheme="majorHAnsi" w:cstheme="majorHAnsi"/>
          <w:sz w:val="22"/>
          <w:szCs w:val="22"/>
        </w:rPr>
        <w:t xml:space="preserve"> specific </w:t>
      </w:r>
      <w:r w:rsidR="0098330A" w:rsidRPr="00B81DBC">
        <w:rPr>
          <w:rFonts w:asciiTheme="majorHAnsi" w:hAnsiTheme="majorHAnsi" w:cstheme="majorHAnsi"/>
          <w:sz w:val="22"/>
          <w:szCs w:val="22"/>
        </w:rPr>
        <w:t xml:space="preserve">didactic </w:t>
      </w:r>
      <w:r w:rsidRPr="00B81DBC">
        <w:rPr>
          <w:rFonts w:asciiTheme="majorHAnsi" w:hAnsiTheme="majorHAnsi" w:cstheme="majorHAnsi"/>
          <w:sz w:val="22"/>
          <w:szCs w:val="22"/>
        </w:rPr>
        <w:t xml:space="preserve">courses:  </w:t>
      </w:r>
      <w:r w:rsidR="0098330A" w:rsidRPr="00B81DBC">
        <w:rPr>
          <w:rFonts w:asciiTheme="majorHAnsi" w:hAnsiTheme="majorHAnsi" w:cstheme="majorHAnsi"/>
          <w:sz w:val="22"/>
          <w:szCs w:val="22"/>
        </w:rPr>
        <w:t xml:space="preserve">Survey of Modern Therapeutics (BIOL 2250) in the fall semester, and </w:t>
      </w:r>
      <w:r w:rsidRPr="00B81DBC">
        <w:rPr>
          <w:rFonts w:asciiTheme="majorHAnsi" w:hAnsiTheme="majorHAnsi" w:cstheme="majorHAnsi"/>
          <w:sz w:val="22"/>
          <w:szCs w:val="22"/>
        </w:rPr>
        <w:t xml:space="preserve">Molecular Pharmacology &amp; Physiology (BIOL 2170) </w:t>
      </w:r>
      <w:r w:rsidR="0098330A" w:rsidRPr="00B81DBC">
        <w:rPr>
          <w:rFonts w:asciiTheme="majorHAnsi" w:hAnsiTheme="majorHAnsi" w:cstheme="majorHAnsi"/>
          <w:sz w:val="22"/>
          <w:szCs w:val="22"/>
        </w:rPr>
        <w:t>in the spring semester.  In addition, they will take</w:t>
      </w:r>
      <w:r w:rsidRPr="00B81DBC">
        <w:rPr>
          <w:rFonts w:asciiTheme="majorHAnsi" w:hAnsiTheme="majorHAnsi" w:cstheme="majorHAnsi"/>
          <w:sz w:val="22"/>
          <w:szCs w:val="22"/>
        </w:rPr>
        <w:t xml:space="preserve"> </w:t>
      </w:r>
      <w:r w:rsidR="0098330A" w:rsidRPr="00B81DBC">
        <w:rPr>
          <w:rFonts w:asciiTheme="majorHAnsi" w:hAnsiTheme="majorHAnsi" w:cstheme="majorHAnsi"/>
          <w:sz w:val="22"/>
          <w:szCs w:val="22"/>
        </w:rPr>
        <w:t>the</w:t>
      </w:r>
      <w:r w:rsidRPr="00B81DBC">
        <w:rPr>
          <w:rFonts w:asciiTheme="majorHAnsi" w:hAnsiTheme="majorHAnsi" w:cstheme="majorHAnsi"/>
          <w:sz w:val="22"/>
          <w:szCs w:val="22"/>
        </w:rPr>
        <w:t xml:space="preserve"> biostatistics </w:t>
      </w:r>
      <w:r w:rsidR="0098330A" w:rsidRPr="00B81DBC">
        <w:rPr>
          <w:rFonts w:asciiTheme="majorHAnsi" w:hAnsiTheme="majorHAnsi" w:cstheme="majorHAnsi"/>
          <w:sz w:val="22"/>
          <w:szCs w:val="22"/>
        </w:rPr>
        <w:t>module</w:t>
      </w:r>
      <w:r w:rsidRPr="00B81DBC">
        <w:rPr>
          <w:rFonts w:asciiTheme="majorHAnsi" w:hAnsiTheme="majorHAnsi" w:cstheme="majorHAnsi"/>
          <w:sz w:val="22"/>
          <w:szCs w:val="22"/>
        </w:rPr>
        <w:t xml:space="preserve"> (Practical Statistics</w:t>
      </w:r>
      <w:r w:rsidR="0098330A" w:rsidRPr="00B81DBC">
        <w:rPr>
          <w:rFonts w:asciiTheme="majorHAnsi" w:hAnsiTheme="majorHAnsi" w:cstheme="majorHAnsi"/>
          <w:sz w:val="22"/>
          <w:szCs w:val="22"/>
        </w:rPr>
        <w:t>, taken pass/fail</w:t>
      </w:r>
      <w:r w:rsidRPr="00B81DBC">
        <w:rPr>
          <w:rFonts w:asciiTheme="majorHAnsi" w:hAnsiTheme="majorHAnsi" w:cstheme="majorHAnsi"/>
          <w:sz w:val="22"/>
          <w:szCs w:val="22"/>
        </w:rPr>
        <w:t>) in January between the first and second semesters</w:t>
      </w:r>
      <w:r w:rsidR="0098330A" w:rsidRPr="00B81DBC">
        <w:rPr>
          <w:rFonts w:asciiTheme="majorHAnsi" w:hAnsiTheme="majorHAnsi" w:cstheme="majorHAnsi"/>
          <w:sz w:val="22"/>
          <w:szCs w:val="22"/>
        </w:rPr>
        <w:t xml:space="preserve">, and multiple units of the graduate independent study (research) course, BIOL 2980, for their lab rotations in both semesters.  To complete their didactic course requirements, the students will take 3 therapeutics-related courses chosen from the list below, and one other elective course, </w:t>
      </w:r>
      <w:r w:rsidR="00B81DBC" w:rsidRPr="00B81DBC">
        <w:rPr>
          <w:rFonts w:asciiTheme="majorHAnsi" w:hAnsiTheme="majorHAnsi" w:cstheme="majorHAnsi"/>
          <w:sz w:val="22"/>
          <w:szCs w:val="22"/>
        </w:rPr>
        <w:t xml:space="preserve">chosen </w:t>
      </w:r>
      <w:r w:rsidR="0098330A" w:rsidRPr="00B81DBC">
        <w:rPr>
          <w:rFonts w:asciiTheme="majorHAnsi" w:hAnsiTheme="majorHAnsi" w:cstheme="majorHAnsi"/>
          <w:sz w:val="22"/>
          <w:szCs w:val="22"/>
        </w:rPr>
        <w:t xml:space="preserve">with program director approval, </w:t>
      </w:r>
      <w:r w:rsidR="00B81DBC" w:rsidRPr="00B81DBC">
        <w:rPr>
          <w:rFonts w:asciiTheme="majorHAnsi" w:hAnsiTheme="majorHAnsi" w:cstheme="majorHAnsi"/>
          <w:sz w:val="22"/>
          <w:szCs w:val="22"/>
        </w:rPr>
        <w:t>based on its</w:t>
      </w:r>
      <w:r w:rsidR="0098330A" w:rsidRPr="00B81DBC">
        <w:rPr>
          <w:rFonts w:asciiTheme="majorHAnsi" w:hAnsiTheme="majorHAnsi" w:cstheme="majorHAnsi"/>
          <w:sz w:val="22"/>
          <w:szCs w:val="22"/>
        </w:rPr>
        <w:t xml:space="preserve"> </w:t>
      </w:r>
      <w:r w:rsidR="00B81DBC" w:rsidRPr="00B81DBC">
        <w:rPr>
          <w:rFonts w:asciiTheme="majorHAnsi" w:hAnsiTheme="majorHAnsi" w:cstheme="majorHAnsi"/>
          <w:sz w:val="22"/>
          <w:szCs w:val="22"/>
        </w:rPr>
        <w:t>relevance</w:t>
      </w:r>
      <w:r w:rsidR="0098330A" w:rsidRPr="00B81DBC">
        <w:rPr>
          <w:rFonts w:asciiTheme="majorHAnsi" w:hAnsiTheme="majorHAnsi" w:cstheme="majorHAnsi"/>
          <w:sz w:val="22"/>
          <w:szCs w:val="22"/>
        </w:rPr>
        <w:t xml:space="preserve"> to their thesis research or broader scientific career goals. </w:t>
      </w:r>
      <w:r w:rsidR="00B81DBC" w:rsidRPr="00B81DBC">
        <w:rPr>
          <w:rFonts w:asciiTheme="majorHAnsi" w:hAnsiTheme="majorHAnsi" w:cstheme="majorHAnsi"/>
          <w:sz w:val="22"/>
          <w:szCs w:val="22"/>
        </w:rPr>
        <w:t xml:space="preserve"> </w:t>
      </w:r>
      <w:r w:rsidRPr="00B81DBC">
        <w:rPr>
          <w:rFonts w:asciiTheme="majorHAnsi" w:hAnsiTheme="majorHAnsi" w:cstheme="majorHAnsi"/>
          <w:sz w:val="22"/>
          <w:szCs w:val="22"/>
        </w:rPr>
        <w:t>The required courses are described below</w:t>
      </w:r>
      <w:r w:rsidR="00B81DBC" w:rsidRPr="00B81DBC">
        <w:rPr>
          <w:rFonts w:asciiTheme="majorHAnsi" w:hAnsiTheme="majorHAnsi" w:cstheme="majorHAnsi"/>
          <w:sz w:val="22"/>
          <w:szCs w:val="22"/>
        </w:rPr>
        <w:t>, followed by lists of therapeutics-related courses and a few elective courses.</w:t>
      </w:r>
    </w:p>
    <w:p w14:paraId="051557AC" w14:textId="508C6DBF" w:rsidR="00B81DBC" w:rsidRPr="00B81DBC" w:rsidRDefault="00B81DBC" w:rsidP="00B81DBC">
      <w:pPr>
        <w:pStyle w:val="ListParagraph"/>
        <w:widowControl w:val="0"/>
        <w:numPr>
          <w:ilvl w:val="0"/>
          <w:numId w:val="2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firstLine="360"/>
        <w:contextualSpacing w:val="0"/>
        <w:jc w:val="both"/>
        <w:rPr>
          <w:rFonts w:asciiTheme="majorHAnsi" w:eastAsia="Times New Roman" w:hAnsiTheme="majorHAnsi" w:cstheme="majorHAnsi"/>
          <w:sz w:val="22"/>
          <w:szCs w:val="22"/>
        </w:rPr>
      </w:pPr>
      <w:r w:rsidRPr="00B81DBC">
        <w:rPr>
          <w:rFonts w:asciiTheme="majorHAnsi" w:eastAsia="Times New Roman" w:hAnsiTheme="majorHAnsi" w:cstheme="majorHAnsi"/>
          <w:sz w:val="22"/>
          <w:szCs w:val="22"/>
        </w:rPr>
        <w:t xml:space="preserve">BIOL 2250, "Survey of Modern Therapeutics", examines the process of drug discovery, development, and approval from target selection to commercialization. </w:t>
      </w:r>
      <w:r>
        <w:rPr>
          <w:rFonts w:asciiTheme="majorHAnsi" w:eastAsia="Times New Roman" w:hAnsiTheme="majorHAnsi" w:cstheme="majorHAnsi"/>
          <w:sz w:val="22"/>
          <w:szCs w:val="22"/>
        </w:rPr>
        <w:t xml:space="preserve"> </w:t>
      </w:r>
      <w:r w:rsidRPr="00B81DBC">
        <w:rPr>
          <w:rFonts w:asciiTheme="majorHAnsi" w:eastAsia="Times New Roman" w:hAnsiTheme="majorHAnsi" w:cstheme="majorHAnsi"/>
          <w:sz w:val="22"/>
          <w:szCs w:val="22"/>
        </w:rPr>
        <w:t>The course provide</w:t>
      </w:r>
      <w:r>
        <w:rPr>
          <w:rFonts w:asciiTheme="majorHAnsi" w:eastAsia="Times New Roman" w:hAnsiTheme="majorHAnsi" w:cstheme="majorHAnsi"/>
          <w:sz w:val="22"/>
          <w:szCs w:val="22"/>
        </w:rPr>
        <w:t>s</w:t>
      </w:r>
      <w:r w:rsidRPr="00B81DBC">
        <w:rPr>
          <w:rFonts w:asciiTheme="majorHAnsi" w:eastAsia="Times New Roman" w:hAnsiTheme="majorHAnsi" w:cstheme="majorHAnsi"/>
          <w:sz w:val="22"/>
          <w:szCs w:val="22"/>
        </w:rPr>
        <w:t xml:space="preserve"> students with an overview of central background concepts in drug development including cellular physiology, target-drug interactions, and pharmacokinetics/pharmacodynamics. </w:t>
      </w:r>
      <w:r>
        <w:rPr>
          <w:rFonts w:asciiTheme="majorHAnsi" w:eastAsia="Times New Roman" w:hAnsiTheme="majorHAnsi" w:cstheme="majorHAnsi"/>
          <w:sz w:val="22"/>
          <w:szCs w:val="22"/>
        </w:rPr>
        <w:t xml:space="preserve"> </w:t>
      </w:r>
      <w:r w:rsidRPr="00B81DBC">
        <w:rPr>
          <w:rFonts w:asciiTheme="majorHAnsi" w:eastAsia="Times New Roman" w:hAnsiTheme="majorHAnsi" w:cstheme="majorHAnsi"/>
          <w:sz w:val="22"/>
          <w:szCs w:val="22"/>
        </w:rPr>
        <w:t>The course then delve</w:t>
      </w:r>
      <w:r>
        <w:rPr>
          <w:rFonts w:asciiTheme="majorHAnsi" w:eastAsia="Times New Roman" w:hAnsiTheme="majorHAnsi" w:cstheme="majorHAnsi"/>
          <w:sz w:val="22"/>
          <w:szCs w:val="22"/>
        </w:rPr>
        <w:t>s</w:t>
      </w:r>
      <w:r w:rsidRPr="00B81DBC">
        <w:rPr>
          <w:rFonts w:asciiTheme="majorHAnsi" w:eastAsia="Times New Roman" w:hAnsiTheme="majorHAnsi" w:cstheme="majorHAnsi"/>
          <w:sz w:val="22"/>
          <w:szCs w:val="22"/>
        </w:rPr>
        <w:t xml:space="preserve"> into the preclinical stages of the traditional small molecule drug discovery process, from initial target identification and validation, through assay development, high throughput screening, hit identification, lead optimization and the selection of a candidate drug. </w:t>
      </w:r>
      <w:r>
        <w:rPr>
          <w:rFonts w:asciiTheme="majorHAnsi" w:eastAsia="Times New Roman" w:hAnsiTheme="majorHAnsi" w:cstheme="majorHAnsi"/>
          <w:sz w:val="22"/>
          <w:szCs w:val="22"/>
        </w:rPr>
        <w:t xml:space="preserve"> </w:t>
      </w:r>
      <w:r w:rsidRPr="00B81DBC">
        <w:rPr>
          <w:rFonts w:asciiTheme="majorHAnsi" w:eastAsia="Times New Roman" w:hAnsiTheme="majorHAnsi" w:cstheme="majorHAnsi"/>
          <w:sz w:val="22"/>
          <w:szCs w:val="22"/>
        </w:rPr>
        <w:t xml:space="preserve">The course </w:t>
      </w:r>
      <w:r>
        <w:rPr>
          <w:rFonts w:asciiTheme="majorHAnsi" w:eastAsia="Times New Roman" w:hAnsiTheme="majorHAnsi" w:cstheme="majorHAnsi"/>
          <w:sz w:val="22"/>
          <w:szCs w:val="22"/>
        </w:rPr>
        <w:t>also goes</w:t>
      </w:r>
      <w:r w:rsidRPr="00B81DBC">
        <w:rPr>
          <w:rFonts w:asciiTheme="majorHAnsi" w:eastAsia="Times New Roman" w:hAnsiTheme="majorHAnsi" w:cstheme="majorHAnsi"/>
          <w:sz w:val="22"/>
          <w:szCs w:val="22"/>
        </w:rPr>
        <w:t xml:space="preserve"> through the process of bringing a therapeutic into clinical trials, through FDA approval, and to the market. </w:t>
      </w:r>
      <w:r>
        <w:rPr>
          <w:rFonts w:asciiTheme="majorHAnsi" w:eastAsia="Times New Roman" w:hAnsiTheme="majorHAnsi" w:cstheme="majorHAnsi"/>
          <w:sz w:val="22"/>
          <w:szCs w:val="22"/>
        </w:rPr>
        <w:t xml:space="preserve"> </w:t>
      </w:r>
      <w:r w:rsidRPr="00B81DBC">
        <w:rPr>
          <w:rFonts w:asciiTheme="majorHAnsi" w:eastAsia="Times New Roman" w:hAnsiTheme="majorHAnsi" w:cstheme="majorHAnsi"/>
          <w:sz w:val="22"/>
          <w:szCs w:val="22"/>
        </w:rPr>
        <w:t>Students will learn the modern approaches in therapeutics including small molecules, biologics, vaccines, anti-infectives, and cell therapies and their applications.</w:t>
      </w:r>
      <w:r w:rsidR="00A52DE5">
        <w:rPr>
          <w:rFonts w:asciiTheme="majorHAnsi" w:eastAsia="Times New Roman" w:hAnsiTheme="majorHAnsi" w:cstheme="majorHAnsi"/>
          <w:sz w:val="22"/>
          <w:szCs w:val="22"/>
        </w:rPr>
        <w:t xml:space="preserve">  Taken in the fall semester of the first year.</w:t>
      </w:r>
    </w:p>
    <w:p w14:paraId="3CB8C433" w14:textId="0A20A1A6" w:rsidR="00474874" w:rsidRPr="00B81DBC" w:rsidRDefault="00474874" w:rsidP="00C66EBD">
      <w:pPr>
        <w:pStyle w:val="ListParagraph"/>
        <w:widowControl w:val="0"/>
        <w:numPr>
          <w:ilvl w:val="0"/>
          <w:numId w:val="2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firstLine="360"/>
        <w:contextualSpacing w:val="0"/>
        <w:jc w:val="both"/>
        <w:rPr>
          <w:rFonts w:asciiTheme="majorHAnsi" w:eastAsia="Times New Roman" w:hAnsiTheme="majorHAnsi" w:cstheme="majorHAnsi"/>
          <w:sz w:val="22"/>
          <w:szCs w:val="22"/>
        </w:rPr>
      </w:pPr>
      <w:r w:rsidRPr="00B81DBC">
        <w:rPr>
          <w:rFonts w:asciiTheme="majorHAnsi" w:eastAsia="Times New Roman" w:hAnsiTheme="majorHAnsi" w:cstheme="majorHAnsi"/>
          <w:sz w:val="22"/>
          <w:szCs w:val="22"/>
        </w:rPr>
        <w:t xml:space="preserve">BIOL 2170, “Molecular Pharmacology and Physiology”, covers receptor families and signaling, receptor-ligand interactions and binding methodologies, pharmacodynamics, pharmacokinetics, and cellular and organ systems physiology.  This course involves lecture-based instruction, as well as in-depth problem solving sessions, discussions of the literature in the relevant areas, and considerations of rigor and reproducibility.  This course is taken in the </w:t>
      </w:r>
      <w:r w:rsidR="00A52DE5">
        <w:rPr>
          <w:rFonts w:asciiTheme="majorHAnsi" w:eastAsia="Times New Roman" w:hAnsiTheme="majorHAnsi" w:cstheme="majorHAnsi"/>
          <w:sz w:val="22"/>
          <w:szCs w:val="22"/>
        </w:rPr>
        <w:t>spring</w:t>
      </w:r>
      <w:r w:rsidRPr="00B81DBC">
        <w:rPr>
          <w:rFonts w:asciiTheme="majorHAnsi" w:eastAsia="Times New Roman" w:hAnsiTheme="majorHAnsi" w:cstheme="majorHAnsi"/>
          <w:sz w:val="22"/>
          <w:szCs w:val="22"/>
        </w:rPr>
        <w:t xml:space="preserve"> semester</w:t>
      </w:r>
      <w:r w:rsidR="00A52DE5">
        <w:rPr>
          <w:rFonts w:asciiTheme="majorHAnsi" w:eastAsia="Times New Roman" w:hAnsiTheme="majorHAnsi" w:cstheme="majorHAnsi"/>
          <w:sz w:val="22"/>
          <w:szCs w:val="22"/>
        </w:rPr>
        <w:t xml:space="preserve"> of the first year</w:t>
      </w:r>
      <w:r w:rsidRPr="00B81DBC">
        <w:rPr>
          <w:rFonts w:asciiTheme="majorHAnsi" w:eastAsia="Times New Roman" w:hAnsiTheme="majorHAnsi" w:cstheme="majorHAnsi"/>
          <w:sz w:val="22"/>
          <w:szCs w:val="22"/>
        </w:rPr>
        <w:t>.</w:t>
      </w:r>
    </w:p>
    <w:p w14:paraId="616D6C14" w14:textId="45606FB9" w:rsidR="00474874" w:rsidRDefault="00474874" w:rsidP="00C66EBD">
      <w:pPr>
        <w:pStyle w:val="ListParagraph"/>
        <w:numPr>
          <w:ilvl w:val="0"/>
          <w:numId w:val="20"/>
        </w:numPr>
        <w:autoSpaceDE w:val="0"/>
        <w:autoSpaceDN w:val="0"/>
        <w:adjustRightInd w:val="0"/>
        <w:spacing w:after="120"/>
        <w:ind w:left="0" w:firstLine="360"/>
        <w:contextualSpacing w:val="0"/>
        <w:jc w:val="both"/>
        <w:rPr>
          <w:rFonts w:asciiTheme="majorHAnsi" w:eastAsia="Times New Roman" w:hAnsiTheme="majorHAnsi" w:cstheme="majorHAnsi"/>
          <w:sz w:val="22"/>
          <w:szCs w:val="22"/>
        </w:rPr>
      </w:pPr>
      <w:r w:rsidRPr="00A52DE5">
        <w:rPr>
          <w:rFonts w:asciiTheme="majorHAnsi" w:eastAsia="Times New Roman" w:hAnsiTheme="majorHAnsi" w:cstheme="majorHAnsi"/>
          <w:sz w:val="22"/>
          <w:szCs w:val="22"/>
        </w:rPr>
        <w:t xml:space="preserve">"Practical Statistics" (no course number), a short, intensive biostatistics </w:t>
      </w:r>
      <w:r w:rsidR="00A52DE5" w:rsidRPr="00A52DE5">
        <w:rPr>
          <w:rFonts w:asciiTheme="majorHAnsi" w:eastAsia="Times New Roman" w:hAnsiTheme="majorHAnsi" w:cstheme="majorHAnsi"/>
          <w:sz w:val="22"/>
          <w:szCs w:val="22"/>
        </w:rPr>
        <w:t>module</w:t>
      </w:r>
      <w:r w:rsidRPr="00A52DE5">
        <w:rPr>
          <w:rFonts w:asciiTheme="majorHAnsi" w:eastAsia="Times New Roman" w:hAnsiTheme="majorHAnsi" w:cstheme="majorHAnsi"/>
          <w:sz w:val="22"/>
          <w:szCs w:val="22"/>
        </w:rPr>
        <w:t xml:space="preserve"> (class time 3 hours every weekday for two weeks).  The goal of this course is for graduate students to gain practical knowledge on executing selected statistical analyses with validated statistical software that requires minimal programing and coding.  </w:t>
      </w:r>
      <w:r w:rsidR="00A52DE5" w:rsidRPr="00A52DE5">
        <w:rPr>
          <w:rFonts w:asciiTheme="majorHAnsi" w:eastAsia="Times New Roman" w:hAnsiTheme="majorHAnsi" w:cstheme="majorHAnsi"/>
          <w:sz w:val="22"/>
          <w:szCs w:val="22"/>
        </w:rPr>
        <w:t>The</w:t>
      </w:r>
      <w:r w:rsidRPr="00A52DE5">
        <w:rPr>
          <w:rFonts w:asciiTheme="majorHAnsi" w:eastAsia="Times New Roman" w:hAnsiTheme="majorHAnsi" w:cstheme="majorHAnsi"/>
          <w:sz w:val="22"/>
          <w:szCs w:val="22"/>
        </w:rPr>
        <w:t xml:space="preserve"> course focuses on teaching students the basics on how to use foundational statistical methods and the statistical software JMP to aid with experimental design, visualizing their data, and to learn to select and use the appropriate statistical methods (e.g., ANOVA, Mann-Whitney U, etc.).  The course is taken by our beginning </w:t>
      </w:r>
      <w:r w:rsidR="00A52DE5" w:rsidRPr="00A52DE5">
        <w:rPr>
          <w:rFonts w:asciiTheme="majorHAnsi" w:eastAsia="Times New Roman" w:hAnsiTheme="majorHAnsi" w:cstheme="majorHAnsi"/>
          <w:sz w:val="22"/>
          <w:szCs w:val="22"/>
        </w:rPr>
        <w:t>TSGP</w:t>
      </w:r>
      <w:r w:rsidRPr="00A52DE5">
        <w:rPr>
          <w:rFonts w:asciiTheme="majorHAnsi" w:eastAsia="Times New Roman" w:hAnsiTheme="majorHAnsi" w:cstheme="majorHAnsi"/>
          <w:sz w:val="22"/>
          <w:szCs w:val="22"/>
        </w:rPr>
        <w:t xml:space="preserve"> </w:t>
      </w:r>
      <w:r w:rsidR="00A52DE5" w:rsidRPr="00A52DE5">
        <w:rPr>
          <w:rFonts w:asciiTheme="majorHAnsi" w:eastAsia="Times New Roman" w:hAnsiTheme="majorHAnsi" w:cstheme="majorHAnsi"/>
          <w:sz w:val="22"/>
          <w:szCs w:val="22"/>
        </w:rPr>
        <w:t xml:space="preserve">PhD </w:t>
      </w:r>
      <w:r w:rsidRPr="00A52DE5">
        <w:rPr>
          <w:rFonts w:asciiTheme="majorHAnsi" w:eastAsia="Times New Roman" w:hAnsiTheme="majorHAnsi" w:cstheme="majorHAnsi"/>
          <w:sz w:val="22"/>
          <w:szCs w:val="22"/>
        </w:rPr>
        <w:t xml:space="preserve">students, along those from </w:t>
      </w:r>
      <w:r w:rsidR="00A52DE5" w:rsidRPr="00A52DE5">
        <w:rPr>
          <w:rFonts w:asciiTheme="majorHAnsi" w:eastAsia="Times New Roman" w:hAnsiTheme="majorHAnsi" w:cstheme="majorHAnsi"/>
          <w:sz w:val="22"/>
          <w:szCs w:val="22"/>
        </w:rPr>
        <w:t>the</w:t>
      </w:r>
      <w:r w:rsidRPr="00A52DE5">
        <w:rPr>
          <w:rFonts w:asciiTheme="majorHAnsi" w:eastAsia="Times New Roman" w:hAnsiTheme="majorHAnsi" w:cstheme="majorHAnsi"/>
          <w:sz w:val="22"/>
          <w:szCs w:val="22"/>
        </w:rPr>
        <w:t xml:space="preserve"> Biomedical Engineering</w:t>
      </w:r>
      <w:r w:rsidR="00A52DE5" w:rsidRPr="00A52DE5">
        <w:rPr>
          <w:rFonts w:asciiTheme="majorHAnsi" w:eastAsia="Times New Roman" w:hAnsiTheme="majorHAnsi" w:cstheme="majorHAnsi"/>
          <w:sz w:val="22"/>
          <w:szCs w:val="22"/>
        </w:rPr>
        <w:t xml:space="preserve"> PhD program</w:t>
      </w:r>
      <w:r w:rsidRPr="00A52DE5">
        <w:rPr>
          <w:rFonts w:asciiTheme="majorHAnsi" w:eastAsia="Times New Roman" w:hAnsiTheme="majorHAnsi" w:cstheme="majorHAnsi"/>
          <w:sz w:val="22"/>
          <w:szCs w:val="22"/>
        </w:rPr>
        <w:t>.</w:t>
      </w:r>
      <w:r w:rsidR="005D4BA1" w:rsidRPr="00A52DE5">
        <w:rPr>
          <w:rFonts w:asciiTheme="majorHAnsi" w:eastAsia="Times New Roman" w:hAnsiTheme="majorHAnsi" w:cstheme="majorHAnsi"/>
          <w:sz w:val="22"/>
          <w:szCs w:val="22"/>
        </w:rPr>
        <w:t xml:space="preserve">  </w:t>
      </w:r>
      <w:r w:rsidR="00A52DE5">
        <w:rPr>
          <w:rFonts w:asciiTheme="majorHAnsi" w:eastAsia="Times New Roman" w:hAnsiTheme="majorHAnsi" w:cstheme="majorHAnsi"/>
          <w:sz w:val="22"/>
          <w:szCs w:val="22"/>
        </w:rPr>
        <w:t>Taken in January between the first and second semesters of the first year.</w:t>
      </w:r>
    </w:p>
    <w:p w14:paraId="65E6F2A9" w14:textId="19591452" w:rsidR="00A52DE5" w:rsidRDefault="00A52DE5" w:rsidP="00C66EBD">
      <w:pPr>
        <w:pStyle w:val="ListParagraph"/>
        <w:numPr>
          <w:ilvl w:val="0"/>
          <w:numId w:val="20"/>
        </w:numPr>
        <w:autoSpaceDE w:val="0"/>
        <w:autoSpaceDN w:val="0"/>
        <w:adjustRightInd w:val="0"/>
        <w:spacing w:after="120"/>
        <w:ind w:left="0" w:firstLine="360"/>
        <w:contextualSpacing w:val="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Therapeutics-related </w:t>
      </w:r>
      <w:r w:rsidR="00131BFF">
        <w:rPr>
          <w:rFonts w:asciiTheme="majorHAnsi" w:eastAsia="Times New Roman" w:hAnsiTheme="majorHAnsi" w:cstheme="majorHAnsi"/>
          <w:sz w:val="22"/>
          <w:szCs w:val="22"/>
        </w:rPr>
        <w:t>E</w:t>
      </w:r>
      <w:r w:rsidR="00F92ADB">
        <w:rPr>
          <w:rFonts w:asciiTheme="majorHAnsi" w:eastAsia="Times New Roman" w:hAnsiTheme="majorHAnsi" w:cstheme="majorHAnsi"/>
          <w:sz w:val="22"/>
          <w:szCs w:val="22"/>
        </w:rPr>
        <w:t xml:space="preserve">lective </w:t>
      </w:r>
      <w:r w:rsidR="00131BFF">
        <w:rPr>
          <w:rFonts w:asciiTheme="majorHAnsi" w:eastAsia="Times New Roman" w:hAnsiTheme="majorHAnsi" w:cstheme="majorHAnsi"/>
          <w:sz w:val="22"/>
          <w:szCs w:val="22"/>
        </w:rPr>
        <w:t>C</w:t>
      </w:r>
      <w:r>
        <w:rPr>
          <w:rFonts w:asciiTheme="majorHAnsi" w:eastAsia="Times New Roman" w:hAnsiTheme="majorHAnsi" w:cstheme="majorHAnsi"/>
          <w:sz w:val="22"/>
          <w:szCs w:val="22"/>
        </w:rPr>
        <w:t>ourses (3 required any time during graduate school):</w:t>
      </w:r>
    </w:p>
    <w:p w14:paraId="0F1E57D0"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2410 Current Topics in Signal Transduction</w:t>
      </w:r>
    </w:p>
    <w:p w14:paraId="1A1B8581"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2300 Biomolecular Interactions: Health, Disease and Drug Design</w:t>
      </w:r>
    </w:p>
    <w:p w14:paraId="2CDD6F85"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2865, Toxicology</w:t>
      </w:r>
    </w:p>
    <w:p w14:paraId="460C09FF" w14:textId="72DC4093"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w:t>
      </w:r>
      <w:r w:rsidR="003D54F2">
        <w:rPr>
          <w:rFonts w:asciiTheme="majorHAnsi" w:eastAsia="Arial" w:hAnsiTheme="majorHAnsi" w:cstheme="majorHAnsi"/>
          <w:color w:val="000000"/>
          <w:sz w:val="22"/>
          <w:szCs w:val="22"/>
        </w:rPr>
        <w:t>2</w:t>
      </w:r>
      <w:r w:rsidRPr="00A52DE5">
        <w:rPr>
          <w:rFonts w:asciiTheme="majorHAnsi" w:eastAsia="Arial" w:hAnsiTheme="majorHAnsi" w:cstheme="majorHAnsi"/>
          <w:color w:val="000000"/>
          <w:sz w:val="22"/>
          <w:szCs w:val="22"/>
        </w:rPr>
        <w:t>60 Physiological Pharmacology</w:t>
      </w:r>
    </w:p>
    <w:p w14:paraId="56E85CD1"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2110 Drug and Gene Delivery</w:t>
      </w:r>
    </w:p>
    <w:p w14:paraId="2B3DAE52"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2010 Quantitative Approaches to Biology</w:t>
      </w:r>
    </w:p>
    <w:p w14:paraId="785544F2"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2860 Molecular Mechanisms of Disease</w:t>
      </w:r>
    </w:p>
    <w:p w14:paraId="7A42EADA"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1290 Cancer Biology</w:t>
      </w:r>
    </w:p>
    <w:p w14:paraId="74389F9C"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2145 Molecular Targets of Drug Discovery</w:t>
      </w:r>
    </w:p>
    <w:p w14:paraId="3B500B99" w14:textId="77777777" w:rsidR="00A52DE5" w:rsidRPr="00A52DE5" w:rsidRDefault="00A52DE5" w:rsidP="00A52DE5">
      <w:pPr>
        <w:pStyle w:val="ListParagraph"/>
        <w:numPr>
          <w:ilvl w:val="0"/>
          <w:numId w:val="25"/>
        </w:numPr>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2167 In Vitro Models of Disease</w:t>
      </w:r>
    </w:p>
    <w:p w14:paraId="4EA05A7F" w14:textId="425AF4D1" w:rsidR="00A52DE5" w:rsidRPr="00A52DE5" w:rsidRDefault="00A52DE5" w:rsidP="00A52DE5">
      <w:pPr>
        <w:pStyle w:val="ListParagraph"/>
        <w:numPr>
          <w:ilvl w:val="0"/>
          <w:numId w:val="25"/>
        </w:numPr>
        <w:spacing w:after="120"/>
        <w:contextualSpacing w:val="0"/>
        <w:rPr>
          <w:rFonts w:asciiTheme="majorHAnsi" w:eastAsia="Arial" w:hAnsiTheme="majorHAnsi" w:cstheme="majorHAnsi"/>
          <w:sz w:val="22"/>
          <w:szCs w:val="22"/>
        </w:rPr>
      </w:pPr>
      <w:r w:rsidRPr="00A52DE5">
        <w:rPr>
          <w:rFonts w:asciiTheme="majorHAnsi" w:eastAsia="Arial" w:hAnsiTheme="majorHAnsi" w:cstheme="majorHAnsi"/>
          <w:sz w:val="22"/>
          <w:szCs w:val="22"/>
        </w:rPr>
        <w:lastRenderedPageBreak/>
        <w:t>BIOL 1070 Biotechnology and Global Health</w:t>
      </w:r>
    </w:p>
    <w:p w14:paraId="450DF8BA" w14:textId="6D86C69D" w:rsidR="00A52DE5" w:rsidRPr="00A52DE5" w:rsidRDefault="00F92ADB" w:rsidP="00485B8C">
      <w:pPr>
        <w:numPr>
          <w:ilvl w:val="0"/>
          <w:numId w:val="23"/>
        </w:numPr>
        <w:pBdr>
          <w:top w:val="nil"/>
          <w:left w:val="nil"/>
          <w:bottom w:val="nil"/>
          <w:right w:val="nil"/>
          <w:between w:val="nil"/>
        </w:pBdr>
        <w:spacing w:before="120" w:after="120"/>
        <w:ind w:left="0" w:firstLine="360"/>
        <w:jc w:val="both"/>
        <w:rPr>
          <w:rFonts w:asciiTheme="majorHAnsi" w:hAnsiTheme="majorHAnsi" w:cstheme="majorHAnsi"/>
          <w:sz w:val="22"/>
          <w:szCs w:val="22"/>
        </w:rPr>
      </w:pPr>
      <w:r>
        <w:rPr>
          <w:rFonts w:asciiTheme="majorHAnsi" w:hAnsiTheme="majorHAnsi" w:cstheme="majorHAnsi"/>
          <w:sz w:val="22"/>
          <w:szCs w:val="22"/>
        </w:rPr>
        <w:t xml:space="preserve">Other </w:t>
      </w:r>
      <w:r w:rsidR="00474874" w:rsidRPr="00A52DE5">
        <w:rPr>
          <w:rFonts w:asciiTheme="majorHAnsi" w:hAnsiTheme="majorHAnsi" w:cstheme="majorHAnsi"/>
          <w:sz w:val="22"/>
          <w:szCs w:val="22"/>
        </w:rPr>
        <w:t xml:space="preserve">Elective Courses.  </w:t>
      </w:r>
      <w:r w:rsidR="00A52DE5" w:rsidRPr="00A52DE5">
        <w:rPr>
          <w:rFonts w:asciiTheme="majorHAnsi" w:hAnsiTheme="majorHAnsi" w:cstheme="majorHAnsi"/>
          <w:sz w:val="22"/>
          <w:szCs w:val="22"/>
        </w:rPr>
        <w:t xml:space="preserve">One additional elective course is to be selected by the student to match their research interests and/or career goals, and this elective is not required to be from the list of therapeutics-related courses, but may be if desired.  If a student is already in a thesis lab, it is a good idea to discuss potential courses with their Thesis Advisor to determine if there is a particular course that is especially relevant and useful for their thesis research.  Elective courses can be taken any time during graduate school, and more than one elective is allowed, but not required.  However, in taking multiple electives, the student should keep in mind that each elective takes time away from their thesis research, thus delaying their PhD.  Elective courses must have approval of the </w:t>
      </w:r>
      <w:r w:rsidR="00F11EDC">
        <w:rPr>
          <w:rFonts w:asciiTheme="majorHAnsi" w:hAnsiTheme="majorHAnsi" w:cstheme="majorHAnsi"/>
          <w:sz w:val="22"/>
          <w:szCs w:val="22"/>
        </w:rPr>
        <w:t xml:space="preserve">Graduate </w:t>
      </w:r>
      <w:r w:rsidR="00A52DE5" w:rsidRPr="00A52DE5">
        <w:rPr>
          <w:rFonts w:asciiTheme="majorHAnsi" w:hAnsiTheme="majorHAnsi" w:cstheme="majorHAnsi"/>
          <w:sz w:val="22"/>
          <w:szCs w:val="22"/>
        </w:rPr>
        <w:t xml:space="preserve">Program Director.  Here are a few examples of the </w:t>
      </w:r>
      <w:r w:rsidR="00320CC0">
        <w:rPr>
          <w:rFonts w:asciiTheme="majorHAnsi" w:hAnsiTheme="majorHAnsi" w:cstheme="majorHAnsi"/>
          <w:sz w:val="22"/>
          <w:szCs w:val="22"/>
        </w:rPr>
        <w:t>numerous</w:t>
      </w:r>
      <w:r w:rsidR="00A52DE5" w:rsidRPr="00A52DE5">
        <w:rPr>
          <w:rFonts w:asciiTheme="majorHAnsi" w:hAnsiTheme="majorHAnsi" w:cstheme="majorHAnsi"/>
          <w:sz w:val="22"/>
          <w:szCs w:val="22"/>
        </w:rPr>
        <w:t xml:space="preserve"> possible elective courses that are not on the therapeutics-related list:</w:t>
      </w:r>
    </w:p>
    <w:p w14:paraId="440BD41B" w14:textId="77777777" w:rsidR="00A52DE5" w:rsidRPr="00A52DE5" w:rsidRDefault="00A52DE5" w:rsidP="00A52DE5">
      <w:pPr>
        <w:numPr>
          <w:ilvl w:val="0"/>
          <w:numId w:val="22"/>
        </w:numPr>
        <w:pBdr>
          <w:top w:val="nil"/>
          <w:left w:val="nil"/>
          <w:bottom w:val="nil"/>
          <w:right w:val="nil"/>
          <w:between w:val="nil"/>
        </w:pBdr>
        <w:ind w:left="1440" w:hanging="540"/>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2270 Advanced Biochemistry</w:t>
      </w:r>
    </w:p>
    <w:p w14:paraId="14D4F62A" w14:textId="77777777" w:rsidR="00A52DE5" w:rsidRPr="00A52DE5" w:rsidRDefault="00A52DE5" w:rsidP="00A52DE5">
      <w:pPr>
        <w:numPr>
          <w:ilvl w:val="0"/>
          <w:numId w:val="22"/>
        </w:numPr>
        <w:pBdr>
          <w:top w:val="nil"/>
          <w:left w:val="nil"/>
          <w:bottom w:val="nil"/>
          <w:right w:val="nil"/>
          <w:between w:val="nil"/>
        </w:pBdr>
        <w:ind w:left="1440" w:hanging="540"/>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2030/2040 Advanced Molecular and Cellular Neurobiology</w:t>
      </w:r>
    </w:p>
    <w:p w14:paraId="48F46161" w14:textId="77777777" w:rsidR="00A52DE5" w:rsidRPr="00A52DE5" w:rsidRDefault="00A52DE5" w:rsidP="00A52DE5">
      <w:pPr>
        <w:numPr>
          <w:ilvl w:val="0"/>
          <w:numId w:val="22"/>
        </w:numPr>
        <w:pBdr>
          <w:top w:val="nil"/>
          <w:left w:val="nil"/>
          <w:bottom w:val="nil"/>
          <w:right w:val="nil"/>
          <w:between w:val="nil"/>
        </w:pBdr>
        <w:ind w:left="1440" w:hanging="540"/>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1150 Stem Cell Engineering</w:t>
      </w:r>
    </w:p>
    <w:p w14:paraId="6248A1F3" w14:textId="77777777" w:rsidR="00A52DE5" w:rsidRPr="00A52DE5" w:rsidRDefault="00A52DE5" w:rsidP="00A52DE5">
      <w:pPr>
        <w:numPr>
          <w:ilvl w:val="0"/>
          <w:numId w:val="22"/>
        </w:numPr>
        <w:pBdr>
          <w:top w:val="nil"/>
          <w:left w:val="nil"/>
          <w:bottom w:val="nil"/>
          <w:right w:val="nil"/>
          <w:between w:val="nil"/>
        </w:pBdr>
        <w:ind w:left="1440" w:hanging="540"/>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CHEM 1230 Chemical Biology</w:t>
      </w:r>
    </w:p>
    <w:p w14:paraId="68BB568C" w14:textId="73086B6E" w:rsidR="003365DF" w:rsidRPr="00A52DE5" w:rsidRDefault="00A52DE5" w:rsidP="00A52DE5">
      <w:pPr>
        <w:numPr>
          <w:ilvl w:val="0"/>
          <w:numId w:val="22"/>
        </w:numPr>
        <w:pBdr>
          <w:top w:val="nil"/>
          <w:left w:val="nil"/>
          <w:bottom w:val="nil"/>
          <w:right w:val="nil"/>
          <w:between w:val="nil"/>
        </w:pBdr>
        <w:ind w:left="1440" w:hanging="540"/>
        <w:rPr>
          <w:rFonts w:asciiTheme="majorHAnsi" w:eastAsia="Arial" w:hAnsiTheme="majorHAnsi" w:cstheme="majorHAnsi"/>
          <w:color w:val="000000"/>
          <w:sz w:val="22"/>
          <w:szCs w:val="22"/>
        </w:rPr>
      </w:pPr>
      <w:r w:rsidRPr="00A52DE5">
        <w:rPr>
          <w:rFonts w:asciiTheme="majorHAnsi" w:eastAsia="Arial" w:hAnsiTheme="majorHAnsi" w:cstheme="majorHAnsi"/>
          <w:color w:val="000000"/>
          <w:sz w:val="22"/>
          <w:szCs w:val="22"/>
        </w:rPr>
        <w:t>BIOL 1120 Biomaterials</w:t>
      </w:r>
    </w:p>
    <w:p w14:paraId="7A97974B" w14:textId="4F35E73C" w:rsidR="00C924B0" w:rsidRPr="00F11EDC" w:rsidRDefault="00C924B0" w:rsidP="00A52DE5">
      <w:pPr>
        <w:pStyle w:val="ListParagraph"/>
        <w:numPr>
          <w:ilvl w:val="0"/>
          <w:numId w:val="20"/>
        </w:numPr>
        <w:autoSpaceDE w:val="0"/>
        <w:autoSpaceDN w:val="0"/>
        <w:adjustRightInd w:val="0"/>
        <w:spacing w:before="120" w:after="120"/>
        <w:ind w:left="0" w:firstLine="360"/>
        <w:contextualSpacing w:val="0"/>
        <w:jc w:val="both"/>
        <w:rPr>
          <w:rFonts w:asciiTheme="majorHAnsi" w:eastAsia="Times New Roman" w:hAnsiTheme="majorHAnsi" w:cstheme="majorHAnsi"/>
          <w:sz w:val="22"/>
          <w:szCs w:val="22"/>
        </w:rPr>
      </w:pPr>
      <w:r w:rsidRPr="00F11EDC">
        <w:rPr>
          <w:rFonts w:asciiTheme="majorHAnsi" w:eastAsia="Times New Roman" w:hAnsiTheme="majorHAnsi" w:cstheme="majorHAnsi"/>
          <w:sz w:val="22"/>
          <w:szCs w:val="22"/>
        </w:rPr>
        <w:t>BIOL 2980, "Graduate Independent Study"</w:t>
      </w:r>
      <w:r w:rsidR="002572BE" w:rsidRPr="00F11EDC">
        <w:rPr>
          <w:rFonts w:asciiTheme="majorHAnsi" w:eastAsia="Times New Roman" w:hAnsiTheme="majorHAnsi" w:cstheme="majorHAnsi"/>
          <w:sz w:val="22"/>
          <w:szCs w:val="22"/>
        </w:rPr>
        <w:t>. Students also receive grades in this course, which</w:t>
      </w:r>
      <w:r w:rsidRPr="00F11EDC">
        <w:rPr>
          <w:rFonts w:asciiTheme="majorHAnsi" w:eastAsia="Times New Roman" w:hAnsiTheme="majorHAnsi" w:cstheme="majorHAnsi"/>
          <w:sz w:val="22"/>
          <w:szCs w:val="22"/>
        </w:rPr>
        <w:t xml:space="preserve"> includes research lab rotations and dissertation research (see below</w:t>
      </w:r>
      <w:r w:rsidR="002572BE" w:rsidRPr="00F11EDC">
        <w:rPr>
          <w:rFonts w:asciiTheme="majorHAnsi" w:eastAsia="Times New Roman" w:hAnsiTheme="majorHAnsi" w:cstheme="majorHAnsi"/>
          <w:sz w:val="22"/>
          <w:szCs w:val="22"/>
        </w:rPr>
        <w:t xml:space="preserve"> for descriptions of both</w:t>
      </w:r>
      <w:r w:rsidRPr="00F11EDC">
        <w:rPr>
          <w:rFonts w:asciiTheme="majorHAnsi" w:eastAsia="Times New Roman" w:hAnsiTheme="majorHAnsi" w:cstheme="majorHAnsi"/>
          <w:sz w:val="22"/>
          <w:szCs w:val="22"/>
        </w:rPr>
        <w:t>), amounting to at least 1</w:t>
      </w:r>
      <w:r w:rsidR="00A52DE5" w:rsidRPr="00F11EDC">
        <w:rPr>
          <w:rFonts w:asciiTheme="majorHAnsi" w:eastAsia="Times New Roman" w:hAnsiTheme="majorHAnsi" w:cstheme="majorHAnsi"/>
          <w:sz w:val="22"/>
          <w:szCs w:val="22"/>
        </w:rPr>
        <w:t>8</w:t>
      </w:r>
      <w:r w:rsidRPr="00F11EDC">
        <w:rPr>
          <w:rFonts w:asciiTheme="majorHAnsi" w:eastAsia="Times New Roman" w:hAnsiTheme="majorHAnsi" w:cstheme="majorHAnsi"/>
          <w:sz w:val="22"/>
          <w:szCs w:val="22"/>
        </w:rPr>
        <w:t xml:space="preserve"> credits, in addition to the </w:t>
      </w:r>
      <w:r w:rsidR="00A52DE5" w:rsidRPr="00F11EDC">
        <w:rPr>
          <w:rFonts w:asciiTheme="majorHAnsi" w:eastAsia="Times New Roman" w:hAnsiTheme="majorHAnsi" w:cstheme="majorHAnsi"/>
          <w:sz w:val="22"/>
          <w:szCs w:val="22"/>
        </w:rPr>
        <w:t>6</w:t>
      </w:r>
      <w:r w:rsidRPr="00F11EDC">
        <w:rPr>
          <w:rFonts w:asciiTheme="majorHAnsi" w:eastAsia="Times New Roman" w:hAnsiTheme="majorHAnsi" w:cstheme="majorHAnsi"/>
          <w:sz w:val="22"/>
          <w:szCs w:val="22"/>
        </w:rPr>
        <w:t xml:space="preserve"> credits</w:t>
      </w:r>
      <w:r w:rsidR="002572BE" w:rsidRPr="00F11EDC">
        <w:rPr>
          <w:rFonts w:asciiTheme="majorHAnsi" w:eastAsia="Times New Roman" w:hAnsiTheme="majorHAnsi" w:cstheme="majorHAnsi"/>
          <w:sz w:val="22"/>
          <w:szCs w:val="22"/>
        </w:rPr>
        <w:t xml:space="preserve"> for the required courses described above</w:t>
      </w:r>
      <w:r w:rsidRPr="00F11EDC">
        <w:rPr>
          <w:rFonts w:asciiTheme="majorHAnsi" w:eastAsia="Times New Roman" w:hAnsiTheme="majorHAnsi" w:cstheme="majorHAnsi"/>
          <w:sz w:val="22"/>
          <w:szCs w:val="22"/>
        </w:rPr>
        <w:t xml:space="preserve">, meeting the University's requirement of 24 minimum course credits for the </w:t>
      </w:r>
      <w:r w:rsidR="00FD7A5A" w:rsidRPr="00F11EDC">
        <w:rPr>
          <w:rFonts w:asciiTheme="majorHAnsi" w:eastAsia="Times New Roman" w:hAnsiTheme="majorHAnsi" w:cstheme="majorHAnsi"/>
          <w:sz w:val="22"/>
          <w:szCs w:val="22"/>
        </w:rPr>
        <w:t>PhD</w:t>
      </w:r>
      <w:r w:rsidRPr="00F11EDC">
        <w:rPr>
          <w:rFonts w:asciiTheme="majorHAnsi" w:eastAsia="Times New Roman" w:hAnsiTheme="majorHAnsi" w:cstheme="majorHAnsi"/>
          <w:sz w:val="22"/>
          <w:szCs w:val="22"/>
        </w:rPr>
        <w:t xml:space="preserve">  </w:t>
      </w:r>
      <w:r w:rsidR="002572BE" w:rsidRPr="00F11EDC">
        <w:rPr>
          <w:rFonts w:asciiTheme="majorHAnsi" w:eastAsia="Times New Roman" w:hAnsiTheme="majorHAnsi" w:cstheme="majorHAnsi"/>
          <w:sz w:val="22"/>
          <w:szCs w:val="22"/>
        </w:rPr>
        <w:t>This</w:t>
      </w:r>
      <w:r w:rsidRPr="00F11EDC">
        <w:rPr>
          <w:rFonts w:asciiTheme="majorHAnsi" w:eastAsia="Times New Roman" w:hAnsiTheme="majorHAnsi" w:cstheme="majorHAnsi"/>
          <w:sz w:val="22"/>
          <w:szCs w:val="22"/>
        </w:rPr>
        <w:t xml:space="preserve"> research course also requires an A or B to assure good academic standing</w:t>
      </w:r>
      <w:r w:rsidR="004644DF" w:rsidRPr="00F11EDC">
        <w:rPr>
          <w:rFonts w:asciiTheme="majorHAnsi" w:eastAsia="Times New Roman" w:hAnsiTheme="majorHAnsi" w:cstheme="majorHAnsi"/>
          <w:sz w:val="22"/>
          <w:szCs w:val="22"/>
        </w:rPr>
        <w:t>, and not be placed on academic warning</w:t>
      </w:r>
      <w:r w:rsidRPr="00F11EDC">
        <w:rPr>
          <w:rFonts w:asciiTheme="majorHAnsi" w:eastAsia="Times New Roman" w:hAnsiTheme="majorHAnsi" w:cstheme="majorHAnsi"/>
          <w:sz w:val="22"/>
          <w:szCs w:val="22"/>
        </w:rPr>
        <w:t>.</w:t>
      </w:r>
    </w:p>
    <w:p w14:paraId="6215D31B" w14:textId="77777777" w:rsidR="00C924B0" w:rsidRPr="00CC4885" w:rsidRDefault="00C924B0" w:rsidP="00C66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u w:val="single"/>
        </w:rPr>
      </w:pPr>
    </w:p>
    <w:p w14:paraId="6B3F1CC5" w14:textId="2494232A" w:rsidR="00D316C0" w:rsidRPr="00AE777F" w:rsidRDefault="005D4BA1" w:rsidP="00C66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r w:rsidRPr="00AE777F">
        <w:rPr>
          <w:rFonts w:asciiTheme="majorHAnsi" w:hAnsiTheme="majorHAnsi" w:cstheme="majorHAnsi"/>
          <w:sz w:val="22"/>
          <w:szCs w:val="22"/>
          <w:u w:val="single"/>
        </w:rPr>
        <w:t xml:space="preserve">Course </w:t>
      </w:r>
      <w:r w:rsidR="00BE1F5A" w:rsidRPr="00AE777F">
        <w:rPr>
          <w:rFonts w:asciiTheme="majorHAnsi" w:hAnsiTheme="majorHAnsi" w:cstheme="majorHAnsi"/>
          <w:sz w:val="22"/>
          <w:szCs w:val="22"/>
          <w:u w:val="single"/>
        </w:rPr>
        <w:t>C</w:t>
      </w:r>
      <w:r w:rsidRPr="00AE777F">
        <w:rPr>
          <w:rFonts w:asciiTheme="majorHAnsi" w:hAnsiTheme="majorHAnsi" w:cstheme="majorHAnsi"/>
          <w:sz w:val="22"/>
          <w:szCs w:val="22"/>
          <w:u w:val="single"/>
        </w:rPr>
        <w:t xml:space="preserve">redit </w:t>
      </w:r>
      <w:r w:rsidR="00BE1F5A" w:rsidRPr="00AE777F">
        <w:rPr>
          <w:rFonts w:asciiTheme="majorHAnsi" w:hAnsiTheme="majorHAnsi" w:cstheme="majorHAnsi"/>
          <w:sz w:val="22"/>
          <w:szCs w:val="22"/>
          <w:u w:val="single"/>
        </w:rPr>
        <w:t>T</w:t>
      </w:r>
      <w:r w:rsidRPr="00AE777F">
        <w:rPr>
          <w:rFonts w:asciiTheme="majorHAnsi" w:hAnsiTheme="majorHAnsi" w:cstheme="majorHAnsi"/>
          <w:sz w:val="22"/>
          <w:szCs w:val="22"/>
          <w:u w:val="single"/>
        </w:rPr>
        <w:t>ransfers</w:t>
      </w:r>
      <w:r w:rsidRPr="00AE777F">
        <w:rPr>
          <w:rFonts w:asciiTheme="majorHAnsi" w:hAnsiTheme="majorHAnsi" w:cstheme="majorHAnsi"/>
          <w:sz w:val="22"/>
          <w:szCs w:val="22"/>
        </w:rPr>
        <w:t>:  s</w:t>
      </w:r>
      <w:r w:rsidR="003252F8" w:rsidRPr="00AE777F">
        <w:rPr>
          <w:rFonts w:asciiTheme="majorHAnsi" w:hAnsiTheme="majorHAnsi" w:cstheme="majorHAnsi"/>
          <w:sz w:val="22"/>
          <w:szCs w:val="22"/>
        </w:rPr>
        <w:t>tudents who have taken graduate level courses (e.g.,</w:t>
      </w:r>
      <w:r w:rsidR="000D1741" w:rsidRPr="00AE777F">
        <w:rPr>
          <w:rFonts w:asciiTheme="majorHAnsi" w:hAnsiTheme="majorHAnsi" w:cstheme="majorHAnsi"/>
          <w:sz w:val="22"/>
          <w:szCs w:val="22"/>
        </w:rPr>
        <w:t xml:space="preserve"> </w:t>
      </w:r>
      <w:r w:rsidR="003252F8" w:rsidRPr="00AE777F">
        <w:rPr>
          <w:rFonts w:asciiTheme="majorHAnsi" w:hAnsiTheme="majorHAnsi" w:cstheme="majorHAnsi"/>
          <w:sz w:val="22"/>
          <w:szCs w:val="22"/>
        </w:rPr>
        <w:t xml:space="preserve">for a masters degree) before attending Brown, and would like to transfer some of those credits in lieu of one or two electives, should meet with the Graduate Program Director to discuss the necessary procedure for transfer.  The courses must be approved by the Director, based on syllabi, </w:t>
      </w:r>
      <w:r w:rsidR="00E819BE" w:rsidRPr="00AE777F">
        <w:rPr>
          <w:rFonts w:asciiTheme="majorHAnsi" w:hAnsiTheme="majorHAnsi" w:cstheme="majorHAnsi"/>
          <w:sz w:val="22"/>
          <w:szCs w:val="22"/>
        </w:rPr>
        <w:t>transcript</w:t>
      </w:r>
      <w:r w:rsidR="009E109C" w:rsidRPr="00AE777F">
        <w:rPr>
          <w:rFonts w:asciiTheme="majorHAnsi" w:hAnsiTheme="majorHAnsi" w:cstheme="majorHAnsi"/>
          <w:sz w:val="22"/>
          <w:szCs w:val="22"/>
        </w:rPr>
        <w:t>s</w:t>
      </w:r>
      <w:r w:rsidR="003252F8" w:rsidRPr="00AE777F">
        <w:rPr>
          <w:rFonts w:asciiTheme="majorHAnsi" w:hAnsiTheme="majorHAnsi" w:cstheme="majorHAnsi"/>
          <w:sz w:val="22"/>
          <w:szCs w:val="22"/>
        </w:rPr>
        <w:t xml:space="preserve"> and course descriptions</w:t>
      </w:r>
      <w:r w:rsidR="00E819BE" w:rsidRPr="00AE777F">
        <w:rPr>
          <w:rFonts w:asciiTheme="majorHAnsi" w:hAnsiTheme="majorHAnsi" w:cstheme="majorHAnsi"/>
          <w:sz w:val="22"/>
          <w:szCs w:val="22"/>
        </w:rPr>
        <w:t xml:space="preserve">.  After approval by the Director, </w:t>
      </w:r>
      <w:r w:rsidR="003252F8" w:rsidRPr="00AE777F">
        <w:rPr>
          <w:rFonts w:asciiTheme="majorHAnsi" w:hAnsiTheme="majorHAnsi" w:cstheme="majorHAnsi"/>
          <w:sz w:val="22"/>
          <w:szCs w:val="22"/>
        </w:rPr>
        <w:t>a form must be submitted to the Registrar</w:t>
      </w:r>
      <w:r w:rsidR="00E819BE" w:rsidRPr="00AE777F">
        <w:rPr>
          <w:rFonts w:asciiTheme="majorHAnsi" w:hAnsiTheme="majorHAnsi" w:cstheme="majorHAnsi"/>
          <w:sz w:val="22"/>
          <w:szCs w:val="22"/>
        </w:rPr>
        <w:t>, along with an official transcript from the former institution</w:t>
      </w:r>
      <w:r w:rsidR="003252F8" w:rsidRPr="00AE777F">
        <w:rPr>
          <w:rFonts w:asciiTheme="majorHAnsi" w:hAnsiTheme="majorHAnsi" w:cstheme="majorHAnsi"/>
          <w:sz w:val="22"/>
          <w:szCs w:val="22"/>
        </w:rPr>
        <w:t>.</w:t>
      </w:r>
      <w:r w:rsidR="009E109C" w:rsidRPr="00AE777F">
        <w:rPr>
          <w:rFonts w:asciiTheme="majorHAnsi" w:hAnsiTheme="majorHAnsi" w:cstheme="majorHAnsi"/>
          <w:sz w:val="22"/>
          <w:szCs w:val="22"/>
        </w:rPr>
        <w:t xml:space="preserve">  The </w:t>
      </w:r>
      <w:r w:rsidR="00925B84" w:rsidRPr="00AE777F">
        <w:rPr>
          <w:rFonts w:asciiTheme="majorHAnsi" w:hAnsiTheme="majorHAnsi" w:cstheme="majorHAnsi"/>
          <w:sz w:val="22"/>
          <w:szCs w:val="22"/>
        </w:rPr>
        <w:t xml:space="preserve">form is available at the Registrar's web page, and the </w:t>
      </w:r>
      <w:r w:rsidR="009E109C" w:rsidRPr="00AE777F">
        <w:rPr>
          <w:rFonts w:asciiTheme="majorHAnsi" w:hAnsiTheme="majorHAnsi" w:cstheme="majorHAnsi"/>
          <w:sz w:val="22"/>
          <w:szCs w:val="22"/>
        </w:rPr>
        <w:t>student and Graduate Program Director complete the form together.</w:t>
      </w:r>
    </w:p>
    <w:p w14:paraId="4430BC04" w14:textId="77777777" w:rsidR="008E248A" w:rsidRPr="00CC4885" w:rsidRDefault="008E248A" w:rsidP="008E248A">
      <w:pPr>
        <w:jc w:val="both"/>
        <w:rPr>
          <w:rFonts w:asciiTheme="majorHAnsi" w:hAnsiTheme="majorHAnsi" w:cstheme="majorHAnsi"/>
        </w:rPr>
      </w:pPr>
    </w:p>
    <w:p w14:paraId="6E07DF61" w14:textId="77777777" w:rsidR="0051686B" w:rsidRPr="00CC4885" w:rsidRDefault="0051686B" w:rsidP="008E248A">
      <w:pPr>
        <w:jc w:val="both"/>
        <w:rPr>
          <w:rFonts w:asciiTheme="majorHAnsi" w:hAnsiTheme="majorHAnsi" w:cstheme="majorHAnsi"/>
        </w:rPr>
      </w:pPr>
    </w:p>
    <w:p w14:paraId="4E2C29B3" w14:textId="1ADC07A7" w:rsidR="00131BFF" w:rsidRPr="00094A7D" w:rsidRDefault="0005194A" w:rsidP="005212C7">
      <w:pPr>
        <w:jc w:val="both"/>
        <w:rPr>
          <w:rFonts w:asciiTheme="majorHAnsi" w:hAnsiTheme="majorHAnsi" w:cstheme="majorHAnsi"/>
          <w:sz w:val="22"/>
          <w:szCs w:val="22"/>
        </w:rPr>
      </w:pPr>
      <w:r w:rsidRPr="00094A7D">
        <w:rPr>
          <w:rFonts w:asciiTheme="majorHAnsi" w:hAnsiTheme="majorHAnsi" w:cstheme="majorHAnsi"/>
          <w:b/>
          <w:bCs/>
          <w:sz w:val="22"/>
          <w:szCs w:val="22"/>
        </w:rPr>
        <w:t>IV.B.</w:t>
      </w:r>
      <w:r w:rsidR="0021524A" w:rsidRPr="00094A7D">
        <w:rPr>
          <w:rFonts w:asciiTheme="majorHAnsi" w:hAnsiTheme="majorHAnsi" w:cstheme="majorHAnsi"/>
          <w:b/>
          <w:bCs/>
          <w:sz w:val="22"/>
          <w:szCs w:val="22"/>
        </w:rPr>
        <w:t xml:space="preserve">  </w:t>
      </w:r>
      <w:r w:rsidR="00112781" w:rsidRPr="00094A7D">
        <w:rPr>
          <w:rFonts w:asciiTheme="majorHAnsi" w:hAnsiTheme="majorHAnsi" w:cstheme="majorHAnsi"/>
          <w:b/>
          <w:bCs/>
          <w:i/>
          <w:iCs/>
          <w:sz w:val="22"/>
          <w:szCs w:val="22"/>
          <w:u w:val="single"/>
        </w:rPr>
        <w:t xml:space="preserve">Research </w:t>
      </w:r>
      <w:r w:rsidR="0090054D" w:rsidRPr="00094A7D">
        <w:rPr>
          <w:rFonts w:asciiTheme="majorHAnsi" w:hAnsiTheme="majorHAnsi" w:cstheme="majorHAnsi"/>
          <w:b/>
          <w:bCs/>
          <w:i/>
          <w:iCs/>
          <w:sz w:val="22"/>
          <w:szCs w:val="22"/>
          <w:u w:val="single"/>
        </w:rPr>
        <w:t>R</w:t>
      </w:r>
      <w:r w:rsidR="00112781" w:rsidRPr="00094A7D">
        <w:rPr>
          <w:rFonts w:asciiTheme="majorHAnsi" w:hAnsiTheme="majorHAnsi" w:cstheme="majorHAnsi"/>
          <w:b/>
          <w:bCs/>
          <w:i/>
          <w:iCs/>
          <w:sz w:val="22"/>
          <w:szCs w:val="22"/>
          <w:u w:val="single"/>
        </w:rPr>
        <w:t>otations</w:t>
      </w:r>
      <w:r w:rsidR="00800773" w:rsidRPr="00094A7D">
        <w:rPr>
          <w:rFonts w:asciiTheme="majorHAnsi" w:hAnsiTheme="majorHAnsi" w:cstheme="majorHAnsi"/>
          <w:b/>
          <w:bCs/>
          <w:i/>
          <w:iCs/>
          <w:sz w:val="22"/>
          <w:szCs w:val="22"/>
          <w:u w:val="single"/>
        </w:rPr>
        <w:t xml:space="preserve"> and Pfizer Summer Internships</w:t>
      </w:r>
      <w:r w:rsidR="00112781" w:rsidRPr="00094A7D">
        <w:rPr>
          <w:rFonts w:asciiTheme="majorHAnsi" w:hAnsiTheme="majorHAnsi" w:cstheme="majorHAnsi"/>
          <w:b/>
          <w:bCs/>
          <w:sz w:val="22"/>
          <w:szCs w:val="22"/>
        </w:rPr>
        <w:t>.</w:t>
      </w:r>
      <w:r w:rsidR="00112781" w:rsidRPr="00094A7D">
        <w:rPr>
          <w:rFonts w:asciiTheme="majorHAnsi" w:hAnsiTheme="majorHAnsi" w:cstheme="majorHAnsi"/>
          <w:sz w:val="22"/>
          <w:szCs w:val="22"/>
        </w:rPr>
        <w:t xml:space="preserve">  In addition to fulfilling course requirements, students are required to complete three laboratory rotations during their first year of graduate study</w:t>
      </w:r>
      <w:r w:rsidR="0018025D" w:rsidRPr="00094A7D">
        <w:rPr>
          <w:rFonts w:asciiTheme="majorHAnsi" w:hAnsiTheme="majorHAnsi" w:cstheme="majorHAnsi"/>
          <w:sz w:val="22"/>
          <w:szCs w:val="22"/>
        </w:rPr>
        <w:t xml:space="preserve"> -- </w:t>
      </w:r>
      <w:r w:rsidR="00112781" w:rsidRPr="00094A7D">
        <w:rPr>
          <w:rFonts w:asciiTheme="majorHAnsi" w:hAnsiTheme="majorHAnsi" w:cstheme="majorHAnsi"/>
          <w:sz w:val="22"/>
          <w:szCs w:val="22"/>
        </w:rPr>
        <w:t xml:space="preserve">one rotation in the fall and two in the spring.  </w:t>
      </w:r>
      <w:r w:rsidR="004634C7" w:rsidRPr="00094A7D">
        <w:rPr>
          <w:rFonts w:asciiTheme="majorHAnsi" w:hAnsiTheme="majorHAnsi" w:cstheme="majorHAnsi"/>
          <w:sz w:val="22"/>
          <w:szCs w:val="22"/>
        </w:rPr>
        <w:t xml:space="preserve">Students are expected to spend essentially the entire first </w:t>
      </w:r>
      <w:r w:rsidR="00F65875" w:rsidRPr="00094A7D">
        <w:rPr>
          <w:rFonts w:asciiTheme="majorHAnsi" w:hAnsiTheme="majorHAnsi" w:cstheme="majorHAnsi"/>
          <w:sz w:val="22"/>
          <w:szCs w:val="22"/>
        </w:rPr>
        <w:t xml:space="preserve">academic year involved in research rotations, </w:t>
      </w:r>
      <w:r w:rsidR="000F246B" w:rsidRPr="00094A7D">
        <w:rPr>
          <w:rFonts w:asciiTheme="majorHAnsi" w:hAnsiTheme="majorHAnsi" w:cstheme="majorHAnsi"/>
          <w:sz w:val="22"/>
          <w:szCs w:val="22"/>
        </w:rPr>
        <w:t xml:space="preserve">along with their coursework.  </w:t>
      </w:r>
      <w:r w:rsidR="00BA3F8A" w:rsidRPr="00094A7D">
        <w:rPr>
          <w:rFonts w:asciiTheme="majorHAnsi" w:hAnsiTheme="majorHAnsi" w:cstheme="majorHAnsi"/>
          <w:sz w:val="22"/>
          <w:szCs w:val="22"/>
        </w:rPr>
        <w:t xml:space="preserve">Although there may be some variation due to faculty trainers' schedules, the </w:t>
      </w:r>
      <w:r w:rsidR="0018025D" w:rsidRPr="00094A7D">
        <w:rPr>
          <w:rFonts w:asciiTheme="majorHAnsi" w:hAnsiTheme="majorHAnsi" w:cstheme="majorHAnsi"/>
          <w:sz w:val="22"/>
          <w:szCs w:val="22"/>
        </w:rPr>
        <w:t xml:space="preserve">three rotation periods are </w:t>
      </w:r>
      <w:r w:rsidR="00BA3F8A" w:rsidRPr="00094A7D">
        <w:rPr>
          <w:rFonts w:asciiTheme="majorHAnsi" w:hAnsiTheme="majorHAnsi" w:cstheme="majorHAnsi"/>
          <w:sz w:val="22"/>
          <w:szCs w:val="22"/>
        </w:rPr>
        <w:t xml:space="preserve">approximately: 1) the second week </w:t>
      </w:r>
      <w:r w:rsidR="00E07569" w:rsidRPr="00094A7D">
        <w:rPr>
          <w:rFonts w:asciiTheme="majorHAnsi" w:hAnsiTheme="majorHAnsi" w:cstheme="majorHAnsi"/>
          <w:sz w:val="22"/>
          <w:szCs w:val="22"/>
        </w:rPr>
        <w:t xml:space="preserve">of </w:t>
      </w:r>
      <w:r w:rsidR="00BA3F8A" w:rsidRPr="00094A7D">
        <w:rPr>
          <w:rFonts w:asciiTheme="majorHAnsi" w:hAnsiTheme="majorHAnsi" w:cstheme="majorHAnsi"/>
          <w:sz w:val="22"/>
          <w:szCs w:val="22"/>
        </w:rPr>
        <w:t xml:space="preserve">classes in </w:t>
      </w:r>
      <w:r w:rsidR="00597BEC" w:rsidRPr="00094A7D">
        <w:rPr>
          <w:rFonts w:asciiTheme="majorHAnsi" w:hAnsiTheme="majorHAnsi" w:cstheme="majorHAnsi"/>
          <w:sz w:val="22"/>
          <w:szCs w:val="22"/>
        </w:rPr>
        <w:t>September</w:t>
      </w:r>
      <w:r w:rsidR="0018025D" w:rsidRPr="00094A7D">
        <w:rPr>
          <w:rFonts w:asciiTheme="majorHAnsi" w:hAnsiTheme="majorHAnsi" w:cstheme="majorHAnsi"/>
          <w:sz w:val="22"/>
          <w:szCs w:val="22"/>
        </w:rPr>
        <w:t xml:space="preserve"> </w:t>
      </w:r>
      <w:r w:rsidR="00BA3F8A" w:rsidRPr="00094A7D">
        <w:rPr>
          <w:rFonts w:asciiTheme="majorHAnsi" w:hAnsiTheme="majorHAnsi" w:cstheme="majorHAnsi"/>
          <w:sz w:val="22"/>
          <w:szCs w:val="22"/>
        </w:rPr>
        <w:t xml:space="preserve">through December 20; 2) </w:t>
      </w:r>
      <w:r w:rsidR="0018025D" w:rsidRPr="00094A7D">
        <w:rPr>
          <w:rFonts w:asciiTheme="majorHAnsi" w:hAnsiTheme="majorHAnsi" w:cstheme="majorHAnsi"/>
          <w:sz w:val="22"/>
          <w:szCs w:val="22"/>
        </w:rPr>
        <w:t xml:space="preserve">February 1 </w:t>
      </w:r>
      <w:r w:rsidR="00BA3F8A" w:rsidRPr="00094A7D">
        <w:rPr>
          <w:rFonts w:asciiTheme="majorHAnsi" w:hAnsiTheme="majorHAnsi" w:cstheme="majorHAnsi"/>
          <w:sz w:val="22"/>
          <w:szCs w:val="22"/>
        </w:rPr>
        <w:t xml:space="preserve">through </w:t>
      </w:r>
      <w:r w:rsidR="0018025D" w:rsidRPr="00094A7D">
        <w:rPr>
          <w:rFonts w:asciiTheme="majorHAnsi" w:hAnsiTheme="majorHAnsi" w:cstheme="majorHAnsi"/>
          <w:sz w:val="22"/>
          <w:szCs w:val="22"/>
        </w:rPr>
        <w:t>March 31</w:t>
      </w:r>
      <w:r w:rsidR="00BA3F8A" w:rsidRPr="00094A7D">
        <w:rPr>
          <w:rFonts w:asciiTheme="majorHAnsi" w:hAnsiTheme="majorHAnsi" w:cstheme="majorHAnsi"/>
          <w:sz w:val="22"/>
          <w:szCs w:val="22"/>
        </w:rPr>
        <w:t xml:space="preserve">; </w:t>
      </w:r>
      <w:r w:rsidR="0018025D" w:rsidRPr="00094A7D">
        <w:rPr>
          <w:rFonts w:asciiTheme="majorHAnsi" w:hAnsiTheme="majorHAnsi" w:cstheme="majorHAnsi"/>
          <w:sz w:val="22"/>
          <w:szCs w:val="22"/>
        </w:rPr>
        <w:t xml:space="preserve">and </w:t>
      </w:r>
      <w:r w:rsidR="00BA3F8A" w:rsidRPr="00094A7D">
        <w:rPr>
          <w:rFonts w:asciiTheme="majorHAnsi" w:hAnsiTheme="majorHAnsi" w:cstheme="majorHAnsi"/>
          <w:sz w:val="22"/>
          <w:szCs w:val="22"/>
        </w:rPr>
        <w:t xml:space="preserve">3) </w:t>
      </w:r>
      <w:r w:rsidR="0018025D" w:rsidRPr="00094A7D">
        <w:rPr>
          <w:rFonts w:asciiTheme="majorHAnsi" w:hAnsiTheme="majorHAnsi" w:cstheme="majorHAnsi"/>
          <w:sz w:val="22"/>
          <w:szCs w:val="22"/>
        </w:rPr>
        <w:t>April 1</w:t>
      </w:r>
      <w:r w:rsidR="00BA3F8A" w:rsidRPr="00094A7D">
        <w:rPr>
          <w:rFonts w:asciiTheme="majorHAnsi" w:hAnsiTheme="majorHAnsi" w:cstheme="majorHAnsi"/>
          <w:sz w:val="22"/>
          <w:szCs w:val="22"/>
        </w:rPr>
        <w:t xml:space="preserve"> through</w:t>
      </w:r>
      <w:r w:rsidR="0018025D" w:rsidRPr="00094A7D">
        <w:rPr>
          <w:rFonts w:asciiTheme="majorHAnsi" w:hAnsiTheme="majorHAnsi" w:cstheme="majorHAnsi"/>
          <w:sz w:val="22"/>
          <w:szCs w:val="22"/>
        </w:rPr>
        <w:t xml:space="preserve"> May 31.</w:t>
      </w:r>
    </w:p>
    <w:p w14:paraId="6C7B758E" w14:textId="77777777" w:rsidR="00131BFF" w:rsidRDefault="00131BFF" w:rsidP="005212C7">
      <w:pPr>
        <w:jc w:val="both"/>
        <w:rPr>
          <w:rFonts w:asciiTheme="majorHAnsi" w:hAnsiTheme="majorHAnsi" w:cstheme="majorHAnsi"/>
        </w:rPr>
      </w:pPr>
    </w:p>
    <w:p w14:paraId="17922D56" w14:textId="5624DBA6" w:rsidR="005212C7" w:rsidRPr="00094A7D" w:rsidRDefault="00112781" w:rsidP="005212C7">
      <w:pPr>
        <w:jc w:val="both"/>
        <w:rPr>
          <w:rFonts w:asciiTheme="majorHAnsi" w:hAnsiTheme="majorHAnsi" w:cstheme="majorHAnsi"/>
          <w:sz w:val="22"/>
          <w:szCs w:val="22"/>
        </w:rPr>
      </w:pPr>
      <w:r w:rsidRPr="00094A7D">
        <w:rPr>
          <w:rFonts w:asciiTheme="majorHAnsi" w:hAnsiTheme="majorHAnsi" w:cstheme="majorHAnsi"/>
          <w:sz w:val="22"/>
          <w:szCs w:val="22"/>
        </w:rPr>
        <w:t xml:space="preserve">Lab rotations </w:t>
      </w:r>
      <w:r w:rsidR="00543A81" w:rsidRPr="00094A7D">
        <w:rPr>
          <w:rFonts w:asciiTheme="majorHAnsi" w:hAnsiTheme="majorHAnsi" w:cstheme="majorHAnsi"/>
          <w:sz w:val="22"/>
          <w:szCs w:val="22"/>
        </w:rPr>
        <w:t xml:space="preserve">expose the student to various research areas, and </w:t>
      </w:r>
      <w:r w:rsidR="007F72BB" w:rsidRPr="00094A7D">
        <w:rPr>
          <w:rFonts w:asciiTheme="majorHAnsi" w:hAnsiTheme="majorHAnsi" w:cstheme="majorHAnsi"/>
          <w:sz w:val="22"/>
          <w:szCs w:val="22"/>
        </w:rPr>
        <w:t xml:space="preserve">help the student </w:t>
      </w:r>
      <w:r w:rsidRPr="00094A7D">
        <w:rPr>
          <w:rFonts w:asciiTheme="majorHAnsi" w:hAnsiTheme="majorHAnsi" w:cstheme="majorHAnsi"/>
          <w:sz w:val="22"/>
          <w:szCs w:val="22"/>
        </w:rPr>
        <w:t xml:space="preserve">choose </w:t>
      </w:r>
      <w:r w:rsidR="007F72BB" w:rsidRPr="00094A7D">
        <w:rPr>
          <w:rFonts w:asciiTheme="majorHAnsi" w:hAnsiTheme="majorHAnsi" w:cstheme="majorHAnsi"/>
          <w:sz w:val="22"/>
          <w:szCs w:val="22"/>
        </w:rPr>
        <w:t>a</w:t>
      </w:r>
      <w:r w:rsidRPr="00094A7D">
        <w:rPr>
          <w:rFonts w:asciiTheme="majorHAnsi" w:hAnsiTheme="majorHAnsi" w:cstheme="majorHAnsi"/>
          <w:sz w:val="22"/>
          <w:szCs w:val="22"/>
        </w:rPr>
        <w:t xml:space="preserve"> </w:t>
      </w:r>
      <w:r w:rsidR="00543A81" w:rsidRPr="00094A7D">
        <w:rPr>
          <w:rFonts w:asciiTheme="majorHAnsi" w:hAnsiTheme="majorHAnsi" w:cstheme="majorHAnsi"/>
          <w:sz w:val="22"/>
          <w:szCs w:val="22"/>
        </w:rPr>
        <w:t xml:space="preserve">thesis </w:t>
      </w:r>
      <w:r w:rsidRPr="00094A7D">
        <w:rPr>
          <w:rFonts w:asciiTheme="majorHAnsi" w:hAnsiTheme="majorHAnsi" w:cstheme="majorHAnsi"/>
          <w:sz w:val="22"/>
          <w:szCs w:val="22"/>
        </w:rPr>
        <w:t xml:space="preserve">lab </w:t>
      </w:r>
      <w:r w:rsidR="007F72BB" w:rsidRPr="00094A7D">
        <w:rPr>
          <w:rFonts w:asciiTheme="majorHAnsi" w:hAnsiTheme="majorHAnsi" w:cstheme="majorHAnsi"/>
          <w:sz w:val="22"/>
          <w:szCs w:val="22"/>
        </w:rPr>
        <w:t>that best suits them</w:t>
      </w:r>
      <w:r w:rsidRPr="00094A7D">
        <w:rPr>
          <w:rFonts w:asciiTheme="majorHAnsi" w:hAnsiTheme="majorHAnsi" w:cstheme="majorHAnsi"/>
          <w:sz w:val="22"/>
          <w:szCs w:val="22"/>
        </w:rPr>
        <w:t xml:space="preserve">.  </w:t>
      </w:r>
      <w:r w:rsidR="007530BB" w:rsidRPr="00094A7D">
        <w:rPr>
          <w:rFonts w:asciiTheme="majorHAnsi" w:hAnsiTheme="majorHAnsi" w:cstheme="majorHAnsi"/>
          <w:sz w:val="22"/>
          <w:szCs w:val="22"/>
        </w:rPr>
        <w:t xml:space="preserve">The most important factor for choosing a laboratory is the professor’s ability to </w:t>
      </w:r>
      <w:r w:rsidR="00131BFF" w:rsidRPr="00094A7D">
        <w:rPr>
          <w:rFonts w:asciiTheme="majorHAnsi" w:hAnsiTheme="majorHAnsi" w:cstheme="majorHAnsi"/>
          <w:sz w:val="22"/>
          <w:szCs w:val="22"/>
        </w:rPr>
        <w:t>teach</w:t>
      </w:r>
      <w:r w:rsidR="007530BB" w:rsidRPr="00094A7D">
        <w:rPr>
          <w:rFonts w:asciiTheme="majorHAnsi" w:hAnsiTheme="majorHAnsi" w:cstheme="majorHAnsi"/>
          <w:sz w:val="22"/>
          <w:szCs w:val="22"/>
        </w:rPr>
        <w:t xml:space="preserve"> and challenge the student to do </w:t>
      </w:r>
      <w:r w:rsidR="00131BFF" w:rsidRPr="00094A7D">
        <w:rPr>
          <w:rFonts w:asciiTheme="majorHAnsi" w:hAnsiTheme="majorHAnsi" w:cstheme="majorHAnsi"/>
          <w:sz w:val="22"/>
          <w:szCs w:val="22"/>
        </w:rPr>
        <w:t xml:space="preserve">rigorous, creative </w:t>
      </w:r>
      <w:r w:rsidR="007530BB" w:rsidRPr="00094A7D">
        <w:rPr>
          <w:rFonts w:asciiTheme="majorHAnsi" w:hAnsiTheme="majorHAnsi" w:cstheme="majorHAnsi"/>
          <w:sz w:val="22"/>
          <w:szCs w:val="22"/>
        </w:rPr>
        <w:t xml:space="preserve">science in a stimulating atmosphere.  The intellectual environment of the laboratory and the dynamics of the interaction </w:t>
      </w:r>
      <w:r w:rsidR="00955822" w:rsidRPr="00094A7D">
        <w:rPr>
          <w:rFonts w:asciiTheme="majorHAnsi" w:hAnsiTheme="majorHAnsi" w:cstheme="majorHAnsi"/>
          <w:sz w:val="22"/>
          <w:szCs w:val="22"/>
        </w:rPr>
        <w:t xml:space="preserve">between </w:t>
      </w:r>
      <w:r w:rsidR="007530BB" w:rsidRPr="00094A7D">
        <w:rPr>
          <w:rFonts w:asciiTheme="majorHAnsi" w:hAnsiTheme="majorHAnsi" w:cstheme="majorHAnsi"/>
          <w:sz w:val="22"/>
          <w:szCs w:val="22"/>
        </w:rPr>
        <w:t>the mentor and student should be foremost in this decisio</w:t>
      </w:r>
      <w:r w:rsidR="007530BB" w:rsidRPr="00094A7D">
        <w:rPr>
          <w:rFonts w:asciiTheme="majorHAnsi" w:hAnsiTheme="majorHAnsi" w:cstheme="majorHAnsi"/>
          <w:color w:val="000000"/>
          <w:sz w:val="22"/>
          <w:szCs w:val="22"/>
        </w:rPr>
        <w:t xml:space="preserve">n.  These considerations should be at least as important as the scientific area of choice.  The student is advised to talk with </w:t>
      </w:r>
      <w:r w:rsidR="00E07569" w:rsidRPr="00094A7D">
        <w:rPr>
          <w:rFonts w:asciiTheme="majorHAnsi" w:hAnsiTheme="majorHAnsi" w:cstheme="majorHAnsi"/>
          <w:color w:val="000000"/>
          <w:sz w:val="22"/>
          <w:szCs w:val="22"/>
        </w:rPr>
        <w:t xml:space="preserve">each </w:t>
      </w:r>
      <w:r w:rsidR="007530BB" w:rsidRPr="00094A7D">
        <w:rPr>
          <w:rFonts w:asciiTheme="majorHAnsi" w:hAnsiTheme="majorHAnsi" w:cstheme="majorHAnsi"/>
          <w:color w:val="000000"/>
          <w:sz w:val="22"/>
          <w:szCs w:val="22"/>
        </w:rPr>
        <w:t>faculty trainer</w:t>
      </w:r>
      <w:r w:rsidR="00933654" w:rsidRPr="00094A7D">
        <w:rPr>
          <w:rFonts w:asciiTheme="majorHAnsi" w:hAnsiTheme="majorHAnsi" w:cstheme="majorHAnsi"/>
          <w:color w:val="000000"/>
          <w:sz w:val="22"/>
          <w:szCs w:val="22"/>
        </w:rPr>
        <w:t xml:space="preserve"> </w:t>
      </w:r>
      <w:r w:rsidR="007530BB" w:rsidRPr="00094A7D">
        <w:rPr>
          <w:rFonts w:asciiTheme="majorHAnsi" w:hAnsiTheme="majorHAnsi" w:cstheme="majorHAnsi"/>
          <w:color w:val="000000"/>
          <w:sz w:val="22"/>
          <w:szCs w:val="22"/>
        </w:rPr>
        <w:t xml:space="preserve">before </w:t>
      </w:r>
      <w:r w:rsidR="00933654" w:rsidRPr="00094A7D">
        <w:rPr>
          <w:rFonts w:asciiTheme="majorHAnsi" w:hAnsiTheme="majorHAnsi" w:cstheme="majorHAnsi"/>
          <w:color w:val="000000"/>
          <w:sz w:val="22"/>
          <w:szCs w:val="22"/>
        </w:rPr>
        <w:t xml:space="preserve">requesting a rotation in </w:t>
      </w:r>
      <w:r w:rsidR="00131BFF" w:rsidRPr="00094A7D">
        <w:rPr>
          <w:rFonts w:asciiTheme="majorHAnsi" w:hAnsiTheme="majorHAnsi" w:cstheme="majorHAnsi"/>
          <w:color w:val="000000"/>
          <w:sz w:val="22"/>
          <w:szCs w:val="22"/>
        </w:rPr>
        <w:t>their</w:t>
      </w:r>
      <w:r w:rsidR="007530BB" w:rsidRPr="00094A7D">
        <w:rPr>
          <w:rFonts w:asciiTheme="majorHAnsi" w:hAnsiTheme="majorHAnsi" w:cstheme="majorHAnsi"/>
          <w:color w:val="000000"/>
          <w:sz w:val="22"/>
          <w:szCs w:val="22"/>
        </w:rPr>
        <w:t xml:space="preserve"> laboratory</w:t>
      </w:r>
      <w:r w:rsidR="007C3A3E" w:rsidRPr="00094A7D">
        <w:rPr>
          <w:rFonts w:asciiTheme="majorHAnsi" w:hAnsiTheme="majorHAnsi" w:cstheme="majorHAnsi"/>
          <w:color w:val="000000"/>
          <w:sz w:val="22"/>
          <w:szCs w:val="22"/>
        </w:rPr>
        <w:t>,</w:t>
      </w:r>
      <w:r w:rsidR="007530BB" w:rsidRPr="00094A7D">
        <w:rPr>
          <w:rFonts w:asciiTheme="majorHAnsi" w:hAnsiTheme="majorHAnsi" w:cstheme="majorHAnsi"/>
          <w:color w:val="000000"/>
          <w:sz w:val="22"/>
          <w:szCs w:val="22"/>
        </w:rPr>
        <w:t xml:space="preserve"> to determine the amount of professor/student interaction, </w:t>
      </w:r>
      <w:r w:rsidR="007C134C" w:rsidRPr="00094A7D">
        <w:rPr>
          <w:rFonts w:asciiTheme="majorHAnsi" w:hAnsiTheme="majorHAnsi" w:cstheme="majorHAnsi"/>
          <w:color w:val="000000"/>
          <w:sz w:val="22"/>
          <w:szCs w:val="22"/>
        </w:rPr>
        <w:t xml:space="preserve">mentoring </w:t>
      </w:r>
      <w:r w:rsidR="007530BB" w:rsidRPr="00094A7D">
        <w:rPr>
          <w:rFonts w:asciiTheme="majorHAnsi" w:hAnsiTheme="majorHAnsi" w:cstheme="majorHAnsi"/>
          <w:color w:val="000000"/>
          <w:sz w:val="22"/>
          <w:szCs w:val="22"/>
        </w:rPr>
        <w:t>philosophies, placement of laboratory alumni</w:t>
      </w:r>
      <w:r w:rsidR="00131BFF" w:rsidRPr="00094A7D">
        <w:rPr>
          <w:rFonts w:asciiTheme="majorHAnsi" w:hAnsiTheme="majorHAnsi" w:cstheme="majorHAnsi"/>
          <w:color w:val="000000"/>
          <w:sz w:val="22"/>
          <w:szCs w:val="22"/>
        </w:rPr>
        <w:t>(ae)</w:t>
      </w:r>
      <w:r w:rsidR="007530BB" w:rsidRPr="00094A7D">
        <w:rPr>
          <w:rFonts w:asciiTheme="majorHAnsi" w:hAnsiTheme="majorHAnsi" w:cstheme="majorHAnsi"/>
          <w:color w:val="000000"/>
          <w:sz w:val="22"/>
          <w:szCs w:val="22"/>
        </w:rPr>
        <w:t xml:space="preserve"> in the research field after leaving the laboratory, and future scientific interests.</w:t>
      </w:r>
      <w:r w:rsidR="007C134C" w:rsidRPr="00094A7D">
        <w:rPr>
          <w:rFonts w:asciiTheme="majorHAnsi" w:hAnsiTheme="majorHAnsi" w:cstheme="majorHAnsi"/>
          <w:color w:val="000000"/>
          <w:sz w:val="22"/>
          <w:szCs w:val="22"/>
        </w:rPr>
        <w:t xml:space="preserve">  It is also often possible to sit in on a professor's lab meeting before officially setting up a rotation</w:t>
      </w:r>
      <w:r w:rsidR="00131BFF" w:rsidRPr="00094A7D">
        <w:rPr>
          <w:rFonts w:asciiTheme="majorHAnsi" w:hAnsiTheme="majorHAnsi" w:cstheme="majorHAnsi"/>
          <w:color w:val="000000"/>
          <w:sz w:val="22"/>
          <w:szCs w:val="22"/>
        </w:rPr>
        <w:t>; this will give the student</w:t>
      </w:r>
      <w:r w:rsidR="007C134C" w:rsidRPr="00094A7D">
        <w:rPr>
          <w:rFonts w:asciiTheme="majorHAnsi" w:hAnsiTheme="majorHAnsi" w:cstheme="majorHAnsi"/>
          <w:color w:val="000000"/>
          <w:sz w:val="22"/>
          <w:szCs w:val="22"/>
        </w:rPr>
        <w:t xml:space="preserve"> a better feel for the </w:t>
      </w:r>
      <w:r w:rsidR="007C134C" w:rsidRPr="00094A7D">
        <w:rPr>
          <w:rFonts w:asciiTheme="majorHAnsi" w:hAnsiTheme="majorHAnsi" w:cstheme="majorHAnsi"/>
          <w:color w:val="000000"/>
          <w:sz w:val="22"/>
          <w:szCs w:val="22"/>
        </w:rPr>
        <w:lastRenderedPageBreak/>
        <w:t xml:space="preserve">dynamics of the lab and the relationships between the professor and the lab members, as well as the lab members with each other.  Thus, a student involved in a rotation in the fall semester may be able to take a little time out here and there to sit in on lab meetings of prospective advisors for the two spring rotations. </w:t>
      </w:r>
      <w:r w:rsidR="007530BB" w:rsidRPr="00094A7D">
        <w:rPr>
          <w:rFonts w:asciiTheme="majorHAnsi" w:hAnsiTheme="majorHAnsi" w:cstheme="majorHAnsi"/>
          <w:color w:val="000000"/>
          <w:sz w:val="22"/>
          <w:szCs w:val="22"/>
        </w:rPr>
        <w:t xml:space="preserve"> </w:t>
      </w:r>
      <w:r w:rsidR="006A7540" w:rsidRPr="00094A7D">
        <w:rPr>
          <w:rFonts w:asciiTheme="majorHAnsi" w:hAnsiTheme="majorHAnsi" w:cstheme="majorHAnsi"/>
          <w:b/>
          <w:i/>
          <w:color w:val="000000"/>
          <w:sz w:val="22"/>
          <w:szCs w:val="22"/>
        </w:rPr>
        <w:t xml:space="preserve">Each student is required to discuss potential rotations with the Graduate Program Director </w:t>
      </w:r>
      <w:r w:rsidR="006A7540" w:rsidRPr="00094A7D">
        <w:rPr>
          <w:rFonts w:asciiTheme="majorHAnsi" w:hAnsiTheme="majorHAnsi" w:cstheme="majorHAnsi"/>
          <w:b/>
          <w:i/>
          <w:color w:val="000000"/>
          <w:sz w:val="22"/>
          <w:szCs w:val="22"/>
          <w:u w:val="single"/>
        </w:rPr>
        <w:t>before</w:t>
      </w:r>
      <w:r w:rsidR="006A7540" w:rsidRPr="00094A7D">
        <w:rPr>
          <w:rFonts w:asciiTheme="majorHAnsi" w:hAnsiTheme="majorHAnsi" w:cstheme="majorHAnsi"/>
          <w:b/>
          <w:i/>
          <w:color w:val="000000"/>
          <w:sz w:val="22"/>
          <w:szCs w:val="22"/>
        </w:rPr>
        <w:t xml:space="preserve"> approaching the faculty trainers.</w:t>
      </w:r>
      <w:r w:rsidR="006A7540" w:rsidRPr="00094A7D">
        <w:rPr>
          <w:rFonts w:asciiTheme="majorHAnsi" w:hAnsiTheme="majorHAnsi" w:cstheme="majorHAnsi"/>
          <w:color w:val="000000"/>
          <w:sz w:val="22"/>
          <w:szCs w:val="22"/>
        </w:rPr>
        <w:t xml:space="preserve">  </w:t>
      </w:r>
      <w:r w:rsidR="00FA1890" w:rsidRPr="00094A7D">
        <w:rPr>
          <w:rFonts w:asciiTheme="majorHAnsi" w:hAnsiTheme="majorHAnsi" w:cstheme="majorHAnsi"/>
          <w:color w:val="000000"/>
          <w:sz w:val="22"/>
          <w:szCs w:val="22"/>
        </w:rPr>
        <w:t xml:space="preserve">Students are not allowed to conduct thesis research in a lab without having completed a rotation in that lab.  Furthermore, students are expected to perform their lab rotations with </w:t>
      </w:r>
      <w:r w:rsidR="00FA1890" w:rsidRPr="00094A7D">
        <w:rPr>
          <w:rFonts w:asciiTheme="majorHAnsi" w:hAnsiTheme="majorHAnsi" w:cstheme="majorHAnsi"/>
          <w:b/>
          <w:i/>
          <w:color w:val="000000"/>
          <w:sz w:val="22"/>
          <w:szCs w:val="22"/>
          <w:u w:val="thick"/>
        </w:rPr>
        <w:t xml:space="preserve">official </w:t>
      </w:r>
      <w:r w:rsidR="00E74222" w:rsidRPr="00094A7D">
        <w:rPr>
          <w:rFonts w:asciiTheme="majorHAnsi" w:hAnsiTheme="majorHAnsi" w:cstheme="majorHAnsi"/>
          <w:b/>
          <w:i/>
          <w:color w:val="000000"/>
          <w:sz w:val="22"/>
          <w:szCs w:val="22"/>
          <w:u w:val="thick"/>
        </w:rPr>
        <w:t>TSGP</w:t>
      </w:r>
      <w:r w:rsidR="00FA1890" w:rsidRPr="00094A7D">
        <w:rPr>
          <w:rFonts w:asciiTheme="majorHAnsi" w:hAnsiTheme="majorHAnsi" w:cstheme="majorHAnsi"/>
          <w:b/>
          <w:i/>
          <w:color w:val="000000"/>
          <w:sz w:val="22"/>
          <w:szCs w:val="22"/>
          <w:u w:val="thick"/>
        </w:rPr>
        <w:t xml:space="preserve"> faculty trainers</w:t>
      </w:r>
      <w:r w:rsidR="00FA1890" w:rsidRPr="00094A7D">
        <w:rPr>
          <w:rFonts w:asciiTheme="majorHAnsi" w:hAnsiTheme="majorHAnsi" w:cstheme="majorHAnsi"/>
          <w:color w:val="000000"/>
          <w:sz w:val="22"/>
          <w:szCs w:val="22"/>
        </w:rPr>
        <w:t xml:space="preserve">; if a student is interested in research with a professor who is not currently a </w:t>
      </w:r>
      <w:r w:rsidR="00E74222" w:rsidRPr="00094A7D">
        <w:rPr>
          <w:rFonts w:asciiTheme="majorHAnsi" w:hAnsiTheme="majorHAnsi" w:cstheme="majorHAnsi"/>
          <w:color w:val="000000"/>
          <w:sz w:val="22"/>
          <w:szCs w:val="22"/>
        </w:rPr>
        <w:t>TSGP</w:t>
      </w:r>
      <w:r w:rsidR="00FA1890" w:rsidRPr="00094A7D">
        <w:rPr>
          <w:rFonts w:asciiTheme="majorHAnsi" w:hAnsiTheme="majorHAnsi" w:cstheme="majorHAnsi"/>
          <w:color w:val="000000"/>
          <w:sz w:val="22"/>
          <w:szCs w:val="22"/>
        </w:rPr>
        <w:t xml:space="preserve"> trainer, </w:t>
      </w:r>
      <w:r w:rsidR="00E74222" w:rsidRPr="00094A7D">
        <w:rPr>
          <w:rFonts w:asciiTheme="majorHAnsi" w:hAnsiTheme="majorHAnsi" w:cstheme="majorHAnsi"/>
          <w:color w:val="000000"/>
          <w:sz w:val="22"/>
          <w:szCs w:val="22"/>
        </w:rPr>
        <w:t>they</w:t>
      </w:r>
      <w:r w:rsidR="00FA1890" w:rsidRPr="00094A7D">
        <w:rPr>
          <w:rFonts w:asciiTheme="majorHAnsi" w:hAnsiTheme="majorHAnsi" w:cstheme="majorHAnsi"/>
          <w:color w:val="000000"/>
          <w:sz w:val="22"/>
          <w:szCs w:val="22"/>
        </w:rPr>
        <w:t xml:space="preserve"> must discuss this issue with the Program Director -- </w:t>
      </w:r>
      <w:r w:rsidR="00FA1890" w:rsidRPr="00094A7D">
        <w:rPr>
          <w:rFonts w:asciiTheme="majorHAnsi" w:hAnsiTheme="majorHAnsi" w:cstheme="majorHAnsi"/>
          <w:color w:val="000000"/>
          <w:sz w:val="22"/>
          <w:szCs w:val="22"/>
          <w:u w:val="single"/>
        </w:rPr>
        <w:t>prior to setting up a rotation</w:t>
      </w:r>
      <w:r w:rsidR="00FA1890" w:rsidRPr="00094A7D">
        <w:rPr>
          <w:rFonts w:asciiTheme="majorHAnsi" w:hAnsiTheme="majorHAnsi" w:cstheme="majorHAnsi"/>
          <w:color w:val="000000"/>
          <w:sz w:val="22"/>
          <w:szCs w:val="22"/>
        </w:rPr>
        <w:t xml:space="preserve"> -- to determine if it is feasible to add this professor to the </w:t>
      </w:r>
      <w:r w:rsidR="00E74222" w:rsidRPr="00094A7D">
        <w:rPr>
          <w:rFonts w:asciiTheme="majorHAnsi" w:hAnsiTheme="majorHAnsi" w:cstheme="majorHAnsi"/>
          <w:color w:val="000000"/>
          <w:sz w:val="22"/>
          <w:szCs w:val="22"/>
        </w:rPr>
        <w:t>TSGP</w:t>
      </w:r>
      <w:r w:rsidR="00FA1890" w:rsidRPr="00094A7D">
        <w:rPr>
          <w:rFonts w:asciiTheme="majorHAnsi" w:hAnsiTheme="majorHAnsi" w:cstheme="majorHAnsi"/>
          <w:color w:val="000000"/>
          <w:sz w:val="22"/>
          <w:szCs w:val="22"/>
        </w:rPr>
        <w:t xml:space="preserve"> trainer list.  </w:t>
      </w:r>
      <w:r w:rsidR="00A02E56" w:rsidRPr="00094A7D">
        <w:rPr>
          <w:rFonts w:asciiTheme="majorHAnsi" w:hAnsiTheme="majorHAnsi" w:cstheme="majorHAnsi"/>
          <w:sz w:val="22"/>
          <w:szCs w:val="22"/>
        </w:rPr>
        <w:t>The</w:t>
      </w:r>
      <w:r w:rsidR="00FA1890" w:rsidRPr="00094A7D">
        <w:rPr>
          <w:rFonts w:asciiTheme="majorHAnsi" w:hAnsiTheme="majorHAnsi" w:cstheme="majorHAnsi"/>
          <w:sz w:val="22"/>
          <w:szCs w:val="22"/>
        </w:rPr>
        <w:t xml:space="preserve"> </w:t>
      </w:r>
      <w:r w:rsidR="00A02E56" w:rsidRPr="00094A7D">
        <w:rPr>
          <w:rFonts w:asciiTheme="majorHAnsi" w:hAnsiTheme="majorHAnsi" w:cstheme="majorHAnsi"/>
          <w:sz w:val="22"/>
          <w:szCs w:val="22"/>
        </w:rPr>
        <w:t xml:space="preserve">list of official </w:t>
      </w:r>
      <w:r w:rsidR="00E74222" w:rsidRPr="00094A7D">
        <w:rPr>
          <w:rFonts w:asciiTheme="majorHAnsi" w:hAnsiTheme="majorHAnsi" w:cstheme="majorHAnsi"/>
          <w:sz w:val="22"/>
          <w:szCs w:val="22"/>
        </w:rPr>
        <w:t>TSGP</w:t>
      </w:r>
      <w:r w:rsidR="00A02E56" w:rsidRPr="00094A7D">
        <w:rPr>
          <w:rFonts w:asciiTheme="majorHAnsi" w:hAnsiTheme="majorHAnsi" w:cstheme="majorHAnsi"/>
          <w:sz w:val="22"/>
          <w:szCs w:val="22"/>
        </w:rPr>
        <w:t xml:space="preserve"> faculty trainers, along with a </w:t>
      </w:r>
      <w:r w:rsidR="00FA1890" w:rsidRPr="00094A7D">
        <w:rPr>
          <w:rFonts w:asciiTheme="majorHAnsi" w:hAnsiTheme="majorHAnsi" w:cstheme="majorHAnsi"/>
          <w:sz w:val="22"/>
          <w:szCs w:val="22"/>
        </w:rPr>
        <w:t>description of each faculty trainer’s relevant research</w:t>
      </w:r>
      <w:r w:rsidR="00A02E56" w:rsidRPr="00094A7D">
        <w:rPr>
          <w:rFonts w:asciiTheme="majorHAnsi" w:hAnsiTheme="majorHAnsi" w:cstheme="majorHAnsi"/>
          <w:sz w:val="22"/>
          <w:szCs w:val="22"/>
        </w:rPr>
        <w:t>,</w:t>
      </w:r>
      <w:r w:rsidR="00FA1890" w:rsidRPr="00094A7D">
        <w:rPr>
          <w:rFonts w:asciiTheme="majorHAnsi" w:hAnsiTheme="majorHAnsi" w:cstheme="majorHAnsi"/>
          <w:sz w:val="22"/>
          <w:szCs w:val="22"/>
        </w:rPr>
        <w:t xml:space="preserve"> appears on the </w:t>
      </w:r>
      <w:r w:rsidR="00E74222" w:rsidRPr="00094A7D">
        <w:rPr>
          <w:rFonts w:asciiTheme="majorHAnsi" w:hAnsiTheme="majorHAnsi" w:cstheme="majorHAnsi"/>
          <w:sz w:val="22"/>
          <w:szCs w:val="22"/>
        </w:rPr>
        <w:t>Therapeutic Sciences PhD program</w:t>
      </w:r>
      <w:r w:rsidR="00FA1890" w:rsidRPr="00094A7D">
        <w:rPr>
          <w:rFonts w:asciiTheme="majorHAnsi" w:hAnsiTheme="majorHAnsi" w:cstheme="majorHAnsi"/>
          <w:sz w:val="22"/>
          <w:szCs w:val="22"/>
        </w:rPr>
        <w:t xml:space="preserve"> website</w:t>
      </w:r>
      <w:r w:rsidR="00382593" w:rsidRPr="00094A7D">
        <w:rPr>
          <w:rFonts w:asciiTheme="majorHAnsi" w:hAnsiTheme="majorHAnsi" w:cstheme="majorHAnsi"/>
          <w:sz w:val="22"/>
          <w:szCs w:val="22"/>
        </w:rPr>
        <w:t>:</w:t>
      </w:r>
      <w:r w:rsidR="00841A8A" w:rsidRPr="00094A7D">
        <w:rPr>
          <w:rFonts w:asciiTheme="majorHAnsi" w:hAnsiTheme="majorHAnsi" w:cstheme="majorHAnsi"/>
          <w:sz w:val="22"/>
          <w:szCs w:val="22"/>
        </w:rPr>
        <w:t xml:space="preserve">  </w:t>
      </w:r>
      <w:hyperlink r:id="rId29" w:history="1">
        <w:r w:rsidR="00841A8A" w:rsidRPr="00094A7D">
          <w:rPr>
            <w:rStyle w:val="Hyperlink"/>
            <w:rFonts w:asciiTheme="majorHAnsi" w:hAnsiTheme="majorHAnsi" w:cstheme="majorHAnsi"/>
            <w:sz w:val="22"/>
            <w:szCs w:val="22"/>
          </w:rPr>
          <w:t>https://www.brown.edu/academics/mpp-graduate-program/people/faculty-trainers</w:t>
        </w:r>
      </w:hyperlink>
      <w:r w:rsidR="00382593" w:rsidRPr="00094A7D">
        <w:rPr>
          <w:rFonts w:asciiTheme="majorHAnsi" w:hAnsiTheme="majorHAnsi" w:cstheme="majorHAnsi"/>
          <w:sz w:val="22"/>
          <w:szCs w:val="22"/>
        </w:rPr>
        <w:t xml:space="preserve">.  </w:t>
      </w:r>
    </w:p>
    <w:p w14:paraId="41D26703" w14:textId="5A15F62E" w:rsidR="00FA1890" w:rsidRPr="00094A7D" w:rsidRDefault="00382593" w:rsidP="005212C7">
      <w:pPr>
        <w:jc w:val="both"/>
        <w:rPr>
          <w:rFonts w:asciiTheme="majorHAnsi" w:hAnsiTheme="majorHAnsi" w:cstheme="majorHAnsi"/>
          <w:sz w:val="22"/>
          <w:szCs w:val="22"/>
        </w:rPr>
      </w:pPr>
      <w:r w:rsidRPr="00094A7D">
        <w:rPr>
          <w:rFonts w:asciiTheme="majorHAnsi" w:hAnsiTheme="majorHAnsi" w:cstheme="majorHAnsi"/>
          <w:sz w:val="22"/>
          <w:szCs w:val="22"/>
        </w:rPr>
        <w:t>Additional information about each trainer also appears on their individual Brown web pages, linked to their entries on our web site.</w:t>
      </w:r>
    </w:p>
    <w:p w14:paraId="4CF4BF81" w14:textId="74A085A7" w:rsidR="007530BB" w:rsidRPr="00094A7D" w:rsidRDefault="007530BB" w:rsidP="007530BB">
      <w:pPr>
        <w:ind w:firstLine="720"/>
        <w:jc w:val="both"/>
        <w:rPr>
          <w:rFonts w:asciiTheme="majorHAnsi" w:hAnsiTheme="majorHAnsi" w:cstheme="majorHAnsi"/>
          <w:color w:val="000000"/>
          <w:sz w:val="22"/>
          <w:szCs w:val="22"/>
        </w:rPr>
      </w:pPr>
    </w:p>
    <w:p w14:paraId="5CD95B3C" w14:textId="77777777" w:rsidR="0057749F" w:rsidRPr="00094A7D" w:rsidRDefault="007530BB" w:rsidP="00642693">
      <w:pPr>
        <w:jc w:val="both"/>
        <w:rPr>
          <w:rFonts w:asciiTheme="majorHAnsi" w:hAnsiTheme="majorHAnsi" w:cstheme="majorHAnsi"/>
          <w:color w:val="000000"/>
          <w:sz w:val="22"/>
          <w:szCs w:val="22"/>
        </w:rPr>
      </w:pPr>
      <w:r w:rsidRPr="00094A7D">
        <w:rPr>
          <w:rFonts w:asciiTheme="majorHAnsi" w:hAnsiTheme="majorHAnsi" w:cstheme="majorHAnsi"/>
          <w:color w:val="000000"/>
          <w:sz w:val="22"/>
          <w:szCs w:val="22"/>
        </w:rPr>
        <w:t xml:space="preserve">Each student should </w:t>
      </w:r>
      <w:r w:rsidR="002F2047" w:rsidRPr="00094A7D">
        <w:rPr>
          <w:rFonts w:asciiTheme="majorHAnsi" w:hAnsiTheme="majorHAnsi" w:cstheme="majorHAnsi"/>
          <w:color w:val="000000"/>
          <w:sz w:val="22"/>
          <w:szCs w:val="22"/>
        </w:rPr>
        <w:t xml:space="preserve">discuss </w:t>
      </w:r>
      <w:r w:rsidRPr="00094A7D">
        <w:rPr>
          <w:rFonts w:asciiTheme="majorHAnsi" w:hAnsiTheme="majorHAnsi" w:cstheme="majorHAnsi"/>
          <w:color w:val="000000"/>
          <w:sz w:val="22"/>
          <w:szCs w:val="22"/>
        </w:rPr>
        <w:t xml:space="preserve">with the Program Director any developments or difficulties encountered in setting up or carrying out rotations, or in finding a thesis lab.  </w:t>
      </w:r>
      <w:r w:rsidR="002F2047" w:rsidRPr="00094A7D">
        <w:rPr>
          <w:rFonts w:asciiTheme="majorHAnsi" w:hAnsiTheme="majorHAnsi" w:cstheme="majorHAnsi"/>
          <w:color w:val="000000"/>
          <w:sz w:val="22"/>
          <w:szCs w:val="22"/>
        </w:rPr>
        <w:t>Emailed notification of approved rotations should also be sent by the student to the Graduate Program Coordinator and Graduate Program Director as soon as the rotation plans are finalized</w:t>
      </w:r>
      <w:r w:rsidR="004A7E50" w:rsidRPr="00094A7D">
        <w:rPr>
          <w:rFonts w:asciiTheme="majorHAnsi" w:hAnsiTheme="majorHAnsi" w:cstheme="majorHAnsi"/>
          <w:color w:val="000000"/>
          <w:sz w:val="22"/>
          <w:szCs w:val="22"/>
        </w:rPr>
        <w:t xml:space="preserve">; this notification will be followed up with a Rotation Agreement </w:t>
      </w:r>
      <w:r w:rsidR="0000367E" w:rsidRPr="00094A7D">
        <w:rPr>
          <w:rFonts w:asciiTheme="majorHAnsi" w:hAnsiTheme="majorHAnsi" w:cstheme="majorHAnsi"/>
          <w:color w:val="000000"/>
          <w:sz w:val="22"/>
          <w:szCs w:val="22"/>
        </w:rPr>
        <w:t>F</w:t>
      </w:r>
      <w:r w:rsidR="004A7E50" w:rsidRPr="00094A7D">
        <w:rPr>
          <w:rFonts w:asciiTheme="majorHAnsi" w:hAnsiTheme="majorHAnsi" w:cstheme="majorHAnsi"/>
          <w:color w:val="000000"/>
          <w:sz w:val="22"/>
          <w:szCs w:val="22"/>
        </w:rPr>
        <w:t xml:space="preserve">orm, as </w:t>
      </w:r>
      <w:r w:rsidR="0000367E" w:rsidRPr="00094A7D">
        <w:rPr>
          <w:rFonts w:asciiTheme="majorHAnsi" w:hAnsiTheme="majorHAnsi" w:cstheme="majorHAnsi"/>
          <w:color w:val="000000"/>
          <w:sz w:val="22"/>
          <w:szCs w:val="22"/>
        </w:rPr>
        <w:t>described</w:t>
      </w:r>
      <w:r w:rsidR="004A7E50" w:rsidRPr="00094A7D">
        <w:rPr>
          <w:rFonts w:asciiTheme="majorHAnsi" w:hAnsiTheme="majorHAnsi" w:cstheme="majorHAnsi"/>
          <w:color w:val="000000"/>
          <w:sz w:val="22"/>
          <w:szCs w:val="22"/>
        </w:rPr>
        <w:t xml:space="preserve"> below</w:t>
      </w:r>
      <w:r w:rsidR="002F2047" w:rsidRPr="00094A7D">
        <w:rPr>
          <w:rFonts w:asciiTheme="majorHAnsi" w:hAnsiTheme="majorHAnsi" w:cstheme="majorHAnsi"/>
          <w:color w:val="000000"/>
          <w:sz w:val="22"/>
          <w:szCs w:val="22"/>
        </w:rPr>
        <w:t xml:space="preserve">.  </w:t>
      </w:r>
      <w:r w:rsidR="00BE468C" w:rsidRPr="00094A7D">
        <w:rPr>
          <w:rFonts w:asciiTheme="majorHAnsi" w:hAnsiTheme="majorHAnsi" w:cstheme="majorHAnsi"/>
          <w:color w:val="000000"/>
          <w:sz w:val="22"/>
          <w:szCs w:val="22"/>
        </w:rPr>
        <w:t xml:space="preserve">Students are required to satisfactorily complete 3 </w:t>
      </w:r>
      <w:r w:rsidR="00BE468C" w:rsidRPr="00094A7D">
        <w:rPr>
          <w:rFonts w:asciiTheme="majorHAnsi" w:hAnsiTheme="majorHAnsi" w:cstheme="majorHAnsi"/>
          <w:i/>
          <w:color w:val="000000"/>
          <w:sz w:val="22"/>
          <w:szCs w:val="22"/>
          <w:u w:val="single"/>
        </w:rPr>
        <w:t>full</w:t>
      </w:r>
      <w:r w:rsidR="00BE468C" w:rsidRPr="00094A7D">
        <w:rPr>
          <w:rFonts w:asciiTheme="majorHAnsi" w:hAnsiTheme="majorHAnsi" w:cstheme="majorHAnsi"/>
          <w:color w:val="000000"/>
          <w:sz w:val="22"/>
          <w:szCs w:val="22"/>
        </w:rPr>
        <w:t xml:space="preserve"> rotations </w:t>
      </w:r>
      <w:r w:rsidR="002F2047" w:rsidRPr="00094A7D">
        <w:rPr>
          <w:rFonts w:asciiTheme="majorHAnsi" w:hAnsiTheme="majorHAnsi" w:cstheme="majorHAnsi"/>
          <w:color w:val="000000"/>
          <w:sz w:val="22"/>
          <w:szCs w:val="22"/>
        </w:rPr>
        <w:t xml:space="preserve">(with a grade of A or B) </w:t>
      </w:r>
      <w:r w:rsidR="00BE468C" w:rsidRPr="00094A7D">
        <w:rPr>
          <w:rFonts w:asciiTheme="majorHAnsi" w:hAnsiTheme="majorHAnsi" w:cstheme="majorHAnsi"/>
          <w:color w:val="000000"/>
          <w:sz w:val="22"/>
          <w:szCs w:val="22"/>
        </w:rPr>
        <w:t xml:space="preserve">by the end of the second semester, and are expected </w:t>
      </w:r>
      <w:r w:rsidR="00642693" w:rsidRPr="00094A7D">
        <w:rPr>
          <w:rFonts w:asciiTheme="majorHAnsi" w:hAnsiTheme="majorHAnsi" w:cstheme="majorHAnsi"/>
          <w:color w:val="000000"/>
          <w:sz w:val="22"/>
          <w:szCs w:val="22"/>
        </w:rPr>
        <w:t xml:space="preserve">to be </w:t>
      </w:r>
      <w:r w:rsidR="0055196C" w:rsidRPr="00094A7D">
        <w:rPr>
          <w:rFonts w:asciiTheme="majorHAnsi" w:hAnsiTheme="majorHAnsi" w:cstheme="majorHAnsi"/>
          <w:color w:val="000000"/>
          <w:sz w:val="22"/>
          <w:szCs w:val="22"/>
        </w:rPr>
        <w:t xml:space="preserve">accepted </w:t>
      </w:r>
      <w:r w:rsidR="00642693" w:rsidRPr="00094A7D">
        <w:rPr>
          <w:rFonts w:asciiTheme="majorHAnsi" w:hAnsiTheme="majorHAnsi" w:cstheme="majorHAnsi"/>
          <w:color w:val="000000"/>
          <w:sz w:val="22"/>
          <w:szCs w:val="22"/>
        </w:rPr>
        <w:t xml:space="preserve">into a </w:t>
      </w:r>
      <w:r w:rsidR="008034E6" w:rsidRPr="00094A7D">
        <w:rPr>
          <w:rFonts w:asciiTheme="majorHAnsi" w:hAnsiTheme="majorHAnsi" w:cstheme="majorHAnsi"/>
          <w:color w:val="000000"/>
          <w:sz w:val="22"/>
          <w:szCs w:val="22"/>
        </w:rPr>
        <w:t xml:space="preserve">faculty </w:t>
      </w:r>
      <w:r w:rsidR="00642693" w:rsidRPr="00094A7D">
        <w:rPr>
          <w:rFonts w:asciiTheme="majorHAnsi" w:hAnsiTheme="majorHAnsi" w:cstheme="majorHAnsi"/>
          <w:color w:val="000000"/>
          <w:sz w:val="22"/>
          <w:szCs w:val="22"/>
        </w:rPr>
        <w:t xml:space="preserve">trainer’s laboratory by </w:t>
      </w:r>
      <w:r w:rsidR="00BE468C" w:rsidRPr="00094A7D">
        <w:rPr>
          <w:rFonts w:asciiTheme="majorHAnsi" w:hAnsiTheme="majorHAnsi" w:cstheme="majorHAnsi"/>
          <w:color w:val="000000"/>
          <w:sz w:val="22"/>
          <w:szCs w:val="22"/>
        </w:rPr>
        <w:t>then as well</w:t>
      </w:r>
      <w:r w:rsidR="0000367E" w:rsidRPr="00094A7D">
        <w:rPr>
          <w:rFonts w:asciiTheme="majorHAnsi" w:hAnsiTheme="majorHAnsi" w:cstheme="majorHAnsi"/>
          <w:color w:val="000000"/>
          <w:sz w:val="22"/>
          <w:szCs w:val="22"/>
        </w:rPr>
        <w:t xml:space="preserve">.  </w:t>
      </w:r>
    </w:p>
    <w:p w14:paraId="7587D95B" w14:textId="77777777" w:rsidR="0057749F" w:rsidRPr="00094A7D" w:rsidRDefault="0057749F" w:rsidP="00642693">
      <w:pPr>
        <w:jc w:val="both"/>
        <w:rPr>
          <w:rFonts w:asciiTheme="majorHAnsi" w:hAnsiTheme="majorHAnsi" w:cstheme="majorHAnsi"/>
          <w:color w:val="000000"/>
          <w:sz w:val="22"/>
          <w:szCs w:val="22"/>
        </w:rPr>
      </w:pPr>
    </w:p>
    <w:p w14:paraId="737CE4F8" w14:textId="7434F140" w:rsidR="00261C14" w:rsidRPr="00094A7D" w:rsidRDefault="0000367E" w:rsidP="00642693">
      <w:pPr>
        <w:jc w:val="both"/>
        <w:rPr>
          <w:rFonts w:asciiTheme="majorHAnsi" w:hAnsiTheme="majorHAnsi" w:cstheme="majorHAnsi"/>
          <w:sz w:val="22"/>
          <w:szCs w:val="22"/>
        </w:rPr>
      </w:pPr>
      <w:r w:rsidRPr="00094A7D">
        <w:rPr>
          <w:rFonts w:asciiTheme="majorHAnsi" w:hAnsiTheme="majorHAnsi" w:cstheme="majorHAnsi"/>
          <w:color w:val="000000"/>
          <w:sz w:val="22"/>
          <w:szCs w:val="22"/>
        </w:rPr>
        <w:t>Most students are able to enter a lab for their thesis work by the end of the second semester, after completing</w:t>
      </w:r>
      <w:r w:rsidR="0057749F" w:rsidRPr="00094A7D">
        <w:rPr>
          <w:rFonts w:asciiTheme="majorHAnsi" w:hAnsiTheme="majorHAnsi" w:cstheme="majorHAnsi"/>
          <w:color w:val="000000"/>
          <w:sz w:val="22"/>
          <w:szCs w:val="22"/>
        </w:rPr>
        <w:t xml:space="preserve"> the</w:t>
      </w:r>
      <w:r w:rsidRPr="00094A7D">
        <w:rPr>
          <w:rFonts w:asciiTheme="majorHAnsi" w:hAnsiTheme="majorHAnsi" w:cstheme="majorHAnsi"/>
          <w:color w:val="000000"/>
          <w:sz w:val="22"/>
          <w:szCs w:val="22"/>
        </w:rPr>
        <w:t xml:space="preserve"> 3 </w:t>
      </w:r>
      <w:r w:rsidR="0057749F" w:rsidRPr="00094A7D">
        <w:rPr>
          <w:rFonts w:asciiTheme="majorHAnsi" w:hAnsiTheme="majorHAnsi" w:cstheme="majorHAnsi"/>
          <w:color w:val="000000"/>
          <w:sz w:val="22"/>
          <w:szCs w:val="22"/>
        </w:rPr>
        <w:t xml:space="preserve">required </w:t>
      </w:r>
      <w:r w:rsidRPr="00094A7D">
        <w:rPr>
          <w:rFonts w:asciiTheme="majorHAnsi" w:hAnsiTheme="majorHAnsi" w:cstheme="majorHAnsi"/>
          <w:color w:val="000000"/>
          <w:sz w:val="22"/>
          <w:szCs w:val="22"/>
        </w:rPr>
        <w:t>rotations</w:t>
      </w:r>
      <w:r w:rsidR="00BE468C" w:rsidRPr="00094A7D">
        <w:rPr>
          <w:rFonts w:asciiTheme="majorHAnsi" w:hAnsiTheme="majorHAnsi" w:cstheme="majorHAnsi"/>
          <w:color w:val="000000"/>
          <w:sz w:val="22"/>
          <w:szCs w:val="22"/>
        </w:rPr>
        <w:t>.  I</w:t>
      </w:r>
      <w:r w:rsidR="00642693" w:rsidRPr="00094A7D">
        <w:rPr>
          <w:rFonts w:asciiTheme="majorHAnsi" w:hAnsiTheme="majorHAnsi" w:cstheme="majorHAnsi"/>
          <w:color w:val="000000"/>
          <w:sz w:val="22"/>
          <w:szCs w:val="22"/>
        </w:rPr>
        <w:t>f</w:t>
      </w:r>
      <w:r w:rsidR="00543A81" w:rsidRPr="00094A7D">
        <w:rPr>
          <w:rFonts w:asciiTheme="majorHAnsi" w:hAnsiTheme="majorHAnsi" w:cstheme="majorHAnsi"/>
          <w:color w:val="000000"/>
          <w:sz w:val="22"/>
          <w:szCs w:val="22"/>
        </w:rPr>
        <w:t xml:space="preserve"> a student </w:t>
      </w:r>
      <w:r w:rsidR="00271C0A" w:rsidRPr="00094A7D">
        <w:rPr>
          <w:rFonts w:asciiTheme="majorHAnsi" w:hAnsiTheme="majorHAnsi" w:cstheme="majorHAnsi"/>
          <w:color w:val="000000"/>
          <w:sz w:val="22"/>
          <w:szCs w:val="22"/>
        </w:rPr>
        <w:t>is not accepted into a lab by the end of the 3 rotations, they</w:t>
      </w:r>
      <w:r w:rsidR="00543A81" w:rsidRPr="00094A7D">
        <w:rPr>
          <w:rFonts w:asciiTheme="majorHAnsi" w:hAnsiTheme="majorHAnsi" w:cstheme="majorHAnsi"/>
          <w:color w:val="000000"/>
          <w:sz w:val="22"/>
          <w:szCs w:val="22"/>
        </w:rPr>
        <w:t xml:space="preserve"> may</w:t>
      </w:r>
      <w:r w:rsidR="00877C8D" w:rsidRPr="00094A7D">
        <w:rPr>
          <w:rFonts w:asciiTheme="majorHAnsi" w:hAnsiTheme="majorHAnsi" w:cstheme="majorHAnsi"/>
          <w:color w:val="000000"/>
          <w:sz w:val="22"/>
          <w:szCs w:val="22"/>
        </w:rPr>
        <w:t xml:space="preserve"> obtain</w:t>
      </w:r>
      <w:r w:rsidR="00543A81" w:rsidRPr="00094A7D">
        <w:rPr>
          <w:rFonts w:asciiTheme="majorHAnsi" w:hAnsiTheme="majorHAnsi" w:cstheme="majorHAnsi"/>
          <w:color w:val="000000"/>
          <w:sz w:val="22"/>
          <w:szCs w:val="22"/>
        </w:rPr>
        <w:t xml:space="preserve"> </w:t>
      </w:r>
      <w:r w:rsidR="00543A81" w:rsidRPr="00094A7D">
        <w:rPr>
          <w:rFonts w:asciiTheme="majorHAnsi" w:hAnsiTheme="majorHAnsi" w:cstheme="majorHAnsi"/>
          <w:b/>
          <w:i/>
          <w:color w:val="000000"/>
          <w:sz w:val="22"/>
          <w:szCs w:val="22"/>
          <w:u w:val="single"/>
        </w:rPr>
        <w:t xml:space="preserve">permission of the </w:t>
      </w:r>
      <w:r w:rsidR="00877C8D" w:rsidRPr="00094A7D">
        <w:rPr>
          <w:rFonts w:asciiTheme="majorHAnsi" w:hAnsiTheme="majorHAnsi" w:cstheme="majorHAnsi"/>
          <w:b/>
          <w:i/>
          <w:color w:val="000000"/>
          <w:sz w:val="22"/>
          <w:szCs w:val="22"/>
          <w:u w:val="single"/>
        </w:rPr>
        <w:t xml:space="preserve">Graduate </w:t>
      </w:r>
      <w:r w:rsidR="00543A81" w:rsidRPr="00094A7D">
        <w:rPr>
          <w:rFonts w:asciiTheme="majorHAnsi" w:hAnsiTheme="majorHAnsi" w:cstheme="majorHAnsi"/>
          <w:b/>
          <w:i/>
          <w:color w:val="000000"/>
          <w:sz w:val="22"/>
          <w:szCs w:val="22"/>
          <w:u w:val="single"/>
        </w:rPr>
        <w:t xml:space="preserve">Program </w:t>
      </w:r>
      <w:r w:rsidR="00877C8D" w:rsidRPr="00094A7D">
        <w:rPr>
          <w:rFonts w:asciiTheme="majorHAnsi" w:hAnsiTheme="majorHAnsi" w:cstheme="majorHAnsi"/>
          <w:b/>
          <w:i/>
          <w:color w:val="000000"/>
          <w:sz w:val="22"/>
          <w:szCs w:val="22"/>
          <w:u w:val="single"/>
        </w:rPr>
        <w:t>Committee</w:t>
      </w:r>
      <w:r w:rsidR="00BE468C" w:rsidRPr="00094A7D">
        <w:rPr>
          <w:rFonts w:asciiTheme="majorHAnsi" w:hAnsiTheme="majorHAnsi" w:cstheme="majorHAnsi"/>
          <w:color w:val="000000"/>
          <w:sz w:val="22"/>
          <w:szCs w:val="22"/>
        </w:rPr>
        <w:t xml:space="preserve"> </w:t>
      </w:r>
      <w:r w:rsidR="00877C8D" w:rsidRPr="00094A7D">
        <w:rPr>
          <w:rFonts w:asciiTheme="majorHAnsi" w:hAnsiTheme="majorHAnsi" w:cstheme="majorHAnsi"/>
          <w:color w:val="000000"/>
          <w:sz w:val="22"/>
          <w:szCs w:val="22"/>
        </w:rPr>
        <w:t xml:space="preserve">to </w:t>
      </w:r>
      <w:r w:rsidR="00543A81" w:rsidRPr="00094A7D">
        <w:rPr>
          <w:rFonts w:asciiTheme="majorHAnsi" w:hAnsiTheme="majorHAnsi" w:cstheme="majorHAnsi"/>
          <w:color w:val="000000"/>
          <w:sz w:val="22"/>
          <w:szCs w:val="22"/>
        </w:rPr>
        <w:t xml:space="preserve">complete </w:t>
      </w:r>
      <w:r w:rsidR="001F2763" w:rsidRPr="00094A7D">
        <w:rPr>
          <w:rFonts w:asciiTheme="majorHAnsi" w:hAnsiTheme="majorHAnsi" w:cstheme="majorHAnsi"/>
          <w:color w:val="000000"/>
          <w:sz w:val="22"/>
          <w:szCs w:val="22"/>
        </w:rPr>
        <w:t>up to 3 additional one-month</w:t>
      </w:r>
      <w:r w:rsidR="00543A81" w:rsidRPr="00094A7D">
        <w:rPr>
          <w:rFonts w:asciiTheme="majorHAnsi" w:hAnsiTheme="majorHAnsi" w:cstheme="majorHAnsi"/>
          <w:color w:val="000000"/>
          <w:sz w:val="22"/>
          <w:szCs w:val="22"/>
        </w:rPr>
        <w:t xml:space="preserve"> rotations in </w:t>
      </w:r>
      <w:r w:rsidR="001F2763" w:rsidRPr="00094A7D">
        <w:rPr>
          <w:rFonts w:asciiTheme="majorHAnsi" w:hAnsiTheme="majorHAnsi" w:cstheme="majorHAnsi"/>
          <w:color w:val="000000"/>
          <w:sz w:val="22"/>
          <w:szCs w:val="22"/>
        </w:rPr>
        <w:t xml:space="preserve">the summer </w:t>
      </w:r>
      <w:r w:rsidR="00543A81" w:rsidRPr="00094A7D">
        <w:rPr>
          <w:rFonts w:asciiTheme="majorHAnsi" w:hAnsiTheme="majorHAnsi" w:cstheme="majorHAnsi"/>
          <w:color w:val="000000"/>
          <w:sz w:val="22"/>
          <w:szCs w:val="22"/>
        </w:rPr>
        <w:t xml:space="preserve">after the </w:t>
      </w:r>
      <w:r w:rsidR="0057749F" w:rsidRPr="00094A7D">
        <w:rPr>
          <w:rFonts w:asciiTheme="majorHAnsi" w:hAnsiTheme="majorHAnsi" w:cstheme="majorHAnsi"/>
          <w:color w:val="000000"/>
          <w:sz w:val="22"/>
          <w:szCs w:val="22"/>
        </w:rPr>
        <w:t>second semester</w:t>
      </w:r>
      <w:r w:rsidR="001F2763" w:rsidRPr="00094A7D">
        <w:rPr>
          <w:rFonts w:asciiTheme="majorHAnsi" w:hAnsiTheme="majorHAnsi" w:cstheme="majorHAnsi"/>
          <w:color w:val="000000"/>
          <w:sz w:val="22"/>
          <w:szCs w:val="22"/>
        </w:rPr>
        <w:t xml:space="preserve"> (</w:t>
      </w:r>
      <w:r w:rsidR="00877C8D" w:rsidRPr="00094A7D">
        <w:rPr>
          <w:rFonts w:asciiTheme="majorHAnsi" w:hAnsiTheme="majorHAnsi" w:cstheme="majorHAnsi"/>
          <w:color w:val="000000"/>
          <w:sz w:val="22"/>
          <w:szCs w:val="22"/>
        </w:rPr>
        <w:t>one rotation each</w:t>
      </w:r>
      <w:r w:rsidR="0091655C" w:rsidRPr="00094A7D">
        <w:rPr>
          <w:rFonts w:asciiTheme="majorHAnsi" w:hAnsiTheme="majorHAnsi" w:cstheme="majorHAnsi"/>
          <w:color w:val="000000"/>
          <w:sz w:val="22"/>
          <w:szCs w:val="22"/>
        </w:rPr>
        <w:t>,</w:t>
      </w:r>
      <w:r w:rsidR="00877C8D" w:rsidRPr="00094A7D">
        <w:rPr>
          <w:rFonts w:asciiTheme="majorHAnsi" w:hAnsiTheme="majorHAnsi" w:cstheme="majorHAnsi"/>
          <w:color w:val="000000"/>
          <w:sz w:val="22"/>
          <w:szCs w:val="22"/>
        </w:rPr>
        <w:t xml:space="preserve"> for </w:t>
      </w:r>
      <w:r w:rsidR="001F2763" w:rsidRPr="00094A7D">
        <w:rPr>
          <w:rFonts w:asciiTheme="majorHAnsi" w:hAnsiTheme="majorHAnsi" w:cstheme="majorHAnsi"/>
          <w:color w:val="000000"/>
          <w:sz w:val="22"/>
          <w:szCs w:val="22"/>
        </w:rPr>
        <w:t>June, July</w:t>
      </w:r>
      <w:r w:rsidR="00877C8D" w:rsidRPr="00094A7D">
        <w:rPr>
          <w:rFonts w:asciiTheme="majorHAnsi" w:hAnsiTheme="majorHAnsi" w:cstheme="majorHAnsi"/>
          <w:color w:val="000000"/>
          <w:sz w:val="22"/>
          <w:szCs w:val="22"/>
        </w:rPr>
        <w:t xml:space="preserve"> and</w:t>
      </w:r>
      <w:r w:rsidR="001F2763" w:rsidRPr="00094A7D">
        <w:rPr>
          <w:rFonts w:asciiTheme="majorHAnsi" w:hAnsiTheme="majorHAnsi" w:cstheme="majorHAnsi"/>
          <w:color w:val="000000"/>
          <w:sz w:val="22"/>
          <w:szCs w:val="22"/>
        </w:rPr>
        <w:t xml:space="preserve"> August)</w:t>
      </w:r>
      <w:r w:rsidR="00543A81" w:rsidRPr="00094A7D">
        <w:rPr>
          <w:rFonts w:asciiTheme="majorHAnsi" w:hAnsiTheme="majorHAnsi" w:cstheme="majorHAnsi"/>
          <w:color w:val="000000"/>
          <w:sz w:val="22"/>
          <w:szCs w:val="22"/>
        </w:rPr>
        <w:t xml:space="preserve">. </w:t>
      </w:r>
      <w:r w:rsidR="001F2763" w:rsidRPr="00094A7D">
        <w:rPr>
          <w:rFonts w:asciiTheme="majorHAnsi" w:hAnsiTheme="majorHAnsi" w:cstheme="majorHAnsi"/>
          <w:color w:val="000000"/>
          <w:sz w:val="22"/>
          <w:szCs w:val="22"/>
        </w:rPr>
        <w:t xml:space="preserve"> </w:t>
      </w:r>
      <w:r w:rsidR="005F241D" w:rsidRPr="00094A7D">
        <w:rPr>
          <w:rFonts w:asciiTheme="majorHAnsi" w:hAnsiTheme="majorHAnsi" w:cstheme="majorHAnsi"/>
          <w:sz w:val="22"/>
          <w:szCs w:val="22"/>
          <w:shd w:val="clear" w:color="auto" w:fill="FFFFFF"/>
        </w:rPr>
        <w:t>The student must be placed in a thesis lab</w:t>
      </w:r>
      <w:r w:rsidR="009C369B" w:rsidRPr="00094A7D">
        <w:rPr>
          <w:rFonts w:asciiTheme="majorHAnsi" w:hAnsiTheme="majorHAnsi" w:cstheme="majorHAnsi"/>
          <w:sz w:val="22"/>
          <w:szCs w:val="22"/>
          <w:shd w:val="clear" w:color="auto" w:fill="FFFFFF"/>
        </w:rPr>
        <w:t xml:space="preserve"> </w:t>
      </w:r>
      <w:r w:rsidR="005F241D" w:rsidRPr="00094A7D">
        <w:rPr>
          <w:rFonts w:asciiTheme="majorHAnsi" w:hAnsiTheme="majorHAnsi" w:cstheme="majorHAnsi"/>
          <w:sz w:val="22"/>
          <w:szCs w:val="22"/>
          <w:shd w:val="clear" w:color="auto" w:fill="FFFFFF"/>
        </w:rPr>
        <w:t>by</w:t>
      </w:r>
      <w:r w:rsidR="009C369B" w:rsidRPr="00094A7D">
        <w:rPr>
          <w:rFonts w:asciiTheme="majorHAnsi" w:hAnsiTheme="majorHAnsi" w:cstheme="majorHAnsi"/>
          <w:sz w:val="22"/>
          <w:szCs w:val="22"/>
          <w:shd w:val="clear" w:color="auto" w:fill="FFFFFF"/>
        </w:rPr>
        <w:t xml:space="preserve"> </w:t>
      </w:r>
      <w:r w:rsidR="005F241D" w:rsidRPr="00094A7D">
        <w:rPr>
          <w:rFonts w:asciiTheme="majorHAnsi" w:hAnsiTheme="majorHAnsi" w:cstheme="majorHAnsi"/>
          <w:sz w:val="22"/>
          <w:szCs w:val="22"/>
          <w:shd w:val="clear" w:color="auto" w:fill="FFFFFF"/>
        </w:rPr>
        <w:t>September 1</w:t>
      </w:r>
      <w:r w:rsidR="00394FAF" w:rsidRPr="00094A7D">
        <w:rPr>
          <w:rFonts w:asciiTheme="majorHAnsi" w:hAnsiTheme="majorHAnsi" w:cstheme="majorHAnsi"/>
          <w:sz w:val="22"/>
          <w:szCs w:val="22"/>
          <w:shd w:val="clear" w:color="auto" w:fill="FFFFFF"/>
        </w:rPr>
        <w:t xml:space="preserve"> </w:t>
      </w:r>
      <w:r w:rsidR="005F241D" w:rsidRPr="00094A7D">
        <w:rPr>
          <w:rFonts w:asciiTheme="majorHAnsi" w:hAnsiTheme="majorHAnsi" w:cstheme="majorHAnsi"/>
          <w:sz w:val="22"/>
          <w:szCs w:val="22"/>
          <w:shd w:val="clear" w:color="auto" w:fill="FFFFFF"/>
        </w:rPr>
        <w:t>of the third semester</w:t>
      </w:r>
      <w:r w:rsidR="005F241D" w:rsidRPr="00094A7D">
        <w:rPr>
          <w:rFonts w:asciiTheme="majorHAnsi" w:hAnsiTheme="majorHAnsi" w:cstheme="majorHAnsi"/>
          <w:sz w:val="22"/>
          <w:szCs w:val="22"/>
        </w:rPr>
        <w:t xml:space="preserve">.  </w:t>
      </w:r>
      <w:r w:rsidR="002D3B53" w:rsidRPr="00094A7D">
        <w:rPr>
          <w:rFonts w:asciiTheme="majorHAnsi" w:hAnsiTheme="majorHAnsi" w:cstheme="majorHAnsi"/>
          <w:sz w:val="22"/>
          <w:szCs w:val="22"/>
        </w:rPr>
        <w:t xml:space="preserve">If a student is not accepted into a lab for their thesis work after 5 rotations, they will be placed on academic warning; if they are not accepted into a lab after 6 rotations, their status may move from warning to termination, and they may be dismissed from </w:t>
      </w:r>
      <w:r w:rsidR="00E74222" w:rsidRPr="00094A7D">
        <w:rPr>
          <w:rFonts w:asciiTheme="majorHAnsi" w:hAnsiTheme="majorHAnsi" w:cstheme="majorHAnsi"/>
          <w:sz w:val="22"/>
          <w:szCs w:val="22"/>
        </w:rPr>
        <w:t>TSGP</w:t>
      </w:r>
      <w:r w:rsidR="002D3B53" w:rsidRPr="00094A7D">
        <w:rPr>
          <w:rFonts w:asciiTheme="majorHAnsi" w:hAnsiTheme="majorHAnsi" w:cstheme="majorHAnsi"/>
          <w:sz w:val="22"/>
          <w:szCs w:val="22"/>
        </w:rPr>
        <w:t xml:space="preserve">, based on deliberations of the Graduate Program Committee.  </w:t>
      </w:r>
    </w:p>
    <w:p w14:paraId="6C9733DA" w14:textId="77777777" w:rsidR="00261C14" w:rsidRPr="00094A7D" w:rsidRDefault="00261C14" w:rsidP="00642693">
      <w:pPr>
        <w:jc w:val="both"/>
        <w:rPr>
          <w:rFonts w:asciiTheme="majorHAnsi" w:hAnsiTheme="majorHAnsi" w:cstheme="majorHAnsi"/>
          <w:sz w:val="22"/>
          <w:szCs w:val="22"/>
        </w:rPr>
      </w:pPr>
    </w:p>
    <w:p w14:paraId="179EA9B3" w14:textId="1F32724B" w:rsidR="00642693" w:rsidRPr="00094A7D" w:rsidRDefault="00261C14" w:rsidP="00642693">
      <w:pPr>
        <w:jc w:val="both"/>
        <w:rPr>
          <w:rFonts w:asciiTheme="majorHAnsi" w:hAnsiTheme="majorHAnsi" w:cstheme="majorHAnsi"/>
          <w:color w:val="000000"/>
          <w:sz w:val="22"/>
          <w:szCs w:val="22"/>
        </w:rPr>
      </w:pPr>
      <w:r w:rsidRPr="00094A7D">
        <w:rPr>
          <w:rFonts w:asciiTheme="majorHAnsi" w:hAnsiTheme="majorHAnsi" w:cstheme="majorHAnsi"/>
          <w:sz w:val="22"/>
          <w:szCs w:val="22"/>
        </w:rPr>
        <w:t>If a student has entered a particular lab for their thesis research, but then needs to leave that lab at any point, they must</w:t>
      </w:r>
      <w:r w:rsidR="005D74A6" w:rsidRPr="00094A7D">
        <w:rPr>
          <w:rFonts w:asciiTheme="majorHAnsi" w:hAnsiTheme="majorHAnsi" w:cstheme="majorHAnsi"/>
          <w:sz w:val="22"/>
          <w:szCs w:val="22"/>
        </w:rPr>
        <w:t xml:space="preserve"> </w:t>
      </w:r>
      <w:r w:rsidRPr="00094A7D">
        <w:rPr>
          <w:rFonts w:asciiTheme="majorHAnsi" w:hAnsiTheme="majorHAnsi" w:cstheme="majorHAnsi"/>
          <w:sz w:val="22"/>
          <w:szCs w:val="22"/>
        </w:rPr>
        <w:t xml:space="preserve">satisfactorily perform a one-month rotation </w:t>
      </w:r>
      <w:r w:rsidR="005D74A6" w:rsidRPr="00094A7D">
        <w:rPr>
          <w:rFonts w:asciiTheme="majorHAnsi" w:hAnsiTheme="majorHAnsi" w:cstheme="majorHAnsi"/>
          <w:sz w:val="22"/>
          <w:szCs w:val="22"/>
        </w:rPr>
        <w:t>in another lab before being allowed to join that lab</w:t>
      </w:r>
      <w:r w:rsidRPr="00094A7D">
        <w:rPr>
          <w:rFonts w:asciiTheme="majorHAnsi" w:hAnsiTheme="majorHAnsi" w:cstheme="majorHAnsi"/>
          <w:sz w:val="22"/>
          <w:szCs w:val="22"/>
        </w:rPr>
        <w:t xml:space="preserve">.  If the student's performance during that rotation is not satisfactory, they will be placed on academic warning, and must </w:t>
      </w:r>
      <w:r w:rsidR="005D74A6" w:rsidRPr="00094A7D">
        <w:rPr>
          <w:rFonts w:asciiTheme="majorHAnsi" w:hAnsiTheme="majorHAnsi" w:cstheme="majorHAnsi"/>
          <w:sz w:val="22"/>
          <w:szCs w:val="22"/>
        </w:rPr>
        <w:t>satisfactorily perform a one-month rotation in</w:t>
      </w:r>
      <w:r w:rsidRPr="00094A7D">
        <w:rPr>
          <w:rFonts w:asciiTheme="majorHAnsi" w:hAnsiTheme="majorHAnsi" w:cstheme="majorHAnsi"/>
          <w:sz w:val="22"/>
          <w:szCs w:val="22"/>
        </w:rPr>
        <w:t xml:space="preserve"> a second replacement lab.  If this condition is not met,</w:t>
      </w:r>
      <w:r w:rsidR="005D74A6" w:rsidRPr="00094A7D">
        <w:rPr>
          <w:rFonts w:asciiTheme="majorHAnsi" w:hAnsiTheme="majorHAnsi" w:cstheme="majorHAnsi"/>
          <w:sz w:val="22"/>
          <w:szCs w:val="22"/>
        </w:rPr>
        <w:t xml:space="preserve"> and the student has not been accepted into a new lab within 2 months of leaving the original lab,</w:t>
      </w:r>
      <w:r w:rsidRPr="00094A7D">
        <w:rPr>
          <w:rFonts w:asciiTheme="majorHAnsi" w:hAnsiTheme="majorHAnsi" w:cstheme="majorHAnsi"/>
          <w:sz w:val="22"/>
          <w:szCs w:val="22"/>
        </w:rPr>
        <w:t xml:space="preserve"> the student may be dismissed from </w:t>
      </w:r>
      <w:r w:rsidR="007C2FF1" w:rsidRPr="00094A7D">
        <w:rPr>
          <w:rFonts w:asciiTheme="majorHAnsi" w:hAnsiTheme="majorHAnsi" w:cstheme="majorHAnsi"/>
          <w:sz w:val="22"/>
          <w:szCs w:val="22"/>
        </w:rPr>
        <w:t>TSGP</w:t>
      </w:r>
      <w:r w:rsidR="005D74A6" w:rsidRPr="00094A7D">
        <w:rPr>
          <w:rFonts w:asciiTheme="majorHAnsi" w:hAnsiTheme="majorHAnsi" w:cstheme="majorHAnsi"/>
          <w:sz w:val="22"/>
          <w:szCs w:val="22"/>
        </w:rPr>
        <w:t>, under consideration by the Graduate Program Committee</w:t>
      </w:r>
      <w:r w:rsidR="00394FAF" w:rsidRPr="00094A7D">
        <w:rPr>
          <w:rFonts w:asciiTheme="majorHAnsi" w:hAnsiTheme="majorHAnsi" w:cstheme="majorHAnsi"/>
          <w:sz w:val="22"/>
          <w:szCs w:val="22"/>
        </w:rPr>
        <w:t>.</w:t>
      </w:r>
      <w:r w:rsidRPr="00094A7D">
        <w:rPr>
          <w:rFonts w:asciiTheme="majorHAnsi" w:hAnsiTheme="majorHAnsi" w:cstheme="majorHAnsi"/>
          <w:sz w:val="22"/>
          <w:szCs w:val="22"/>
        </w:rPr>
        <w:t xml:space="preserve">  </w:t>
      </w:r>
    </w:p>
    <w:p w14:paraId="5FCD3800" w14:textId="77777777" w:rsidR="006826B6" w:rsidRPr="00094A7D" w:rsidRDefault="006826B6" w:rsidP="0011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773408C5" w14:textId="6D33CAA1" w:rsidR="001F2763" w:rsidRPr="00094A7D" w:rsidRDefault="00890256" w:rsidP="0011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094A7D">
        <w:rPr>
          <w:rFonts w:asciiTheme="majorHAnsi" w:hAnsiTheme="majorHAnsi" w:cstheme="majorHAnsi"/>
          <w:b/>
          <w:i/>
          <w:color w:val="000000"/>
          <w:sz w:val="22"/>
          <w:szCs w:val="22"/>
        </w:rPr>
        <w:t>To facilitate</w:t>
      </w:r>
      <w:r w:rsidRPr="00094A7D">
        <w:rPr>
          <w:rFonts w:asciiTheme="majorHAnsi" w:hAnsiTheme="majorHAnsi" w:cstheme="majorHAnsi"/>
          <w:color w:val="000000"/>
          <w:sz w:val="22"/>
          <w:szCs w:val="22"/>
        </w:rPr>
        <w:t xml:space="preserve"> </w:t>
      </w:r>
      <w:r w:rsidRPr="00094A7D">
        <w:rPr>
          <w:rFonts w:asciiTheme="majorHAnsi" w:hAnsiTheme="majorHAnsi" w:cstheme="majorHAnsi"/>
          <w:b/>
          <w:i/>
          <w:color w:val="000000"/>
          <w:sz w:val="22"/>
          <w:szCs w:val="22"/>
        </w:rPr>
        <w:t>rotation choices</w:t>
      </w:r>
      <w:r w:rsidRPr="00094A7D">
        <w:rPr>
          <w:rFonts w:asciiTheme="majorHAnsi" w:hAnsiTheme="majorHAnsi" w:cstheme="majorHAnsi"/>
          <w:color w:val="000000"/>
          <w:sz w:val="22"/>
          <w:szCs w:val="22"/>
        </w:rPr>
        <w:t>, f</w:t>
      </w:r>
      <w:r w:rsidR="001F2763" w:rsidRPr="00094A7D">
        <w:rPr>
          <w:rFonts w:asciiTheme="majorHAnsi" w:hAnsiTheme="majorHAnsi" w:cstheme="majorHAnsi"/>
          <w:color w:val="000000"/>
          <w:sz w:val="22"/>
          <w:szCs w:val="22"/>
        </w:rPr>
        <w:t xml:space="preserve">irst-year students are introduced to </w:t>
      </w:r>
      <w:r w:rsidR="007C2FF1" w:rsidRPr="00094A7D">
        <w:rPr>
          <w:rFonts w:asciiTheme="majorHAnsi" w:hAnsiTheme="majorHAnsi" w:cstheme="majorHAnsi"/>
          <w:color w:val="000000"/>
          <w:sz w:val="22"/>
          <w:szCs w:val="22"/>
        </w:rPr>
        <w:t>TSGP</w:t>
      </w:r>
      <w:r w:rsidR="001F2763" w:rsidRPr="00094A7D">
        <w:rPr>
          <w:rFonts w:asciiTheme="majorHAnsi" w:hAnsiTheme="majorHAnsi" w:cstheme="majorHAnsi"/>
          <w:color w:val="000000"/>
          <w:sz w:val="22"/>
          <w:szCs w:val="22"/>
        </w:rPr>
        <w:t xml:space="preserve"> trainers and potential projects through </w:t>
      </w:r>
      <w:r w:rsidR="00AE2BCF" w:rsidRPr="00094A7D">
        <w:rPr>
          <w:rFonts w:asciiTheme="majorHAnsi" w:hAnsiTheme="majorHAnsi" w:cstheme="majorHAnsi"/>
          <w:b/>
          <w:i/>
          <w:color w:val="000000"/>
          <w:sz w:val="22"/>
          <w:szCs w:val="22"/>
        </w:rPr>
        <w:t>Faculty/Student</w:t>
      </w:r>
      <w:r w:rsidR="00AE2BCF" w:rsidRPr="00094A7D">
        <w:rPr>
          <w:rFonts w:asciiTheme="majorHAnsi" w:hAnsiTheme="majorHAnsi" w:cstheme="majorHAnsi"/>
          <w:color w:val="000000"/>
          <w:sz w:val="22"/>
          <w:szCs w:val="22"/>
        </w:rPr>
        <w:t xml:space="preserve"> </w:t>
      </w:r>
      <w:r w:rsidR="00AE2BCF" w:rsidRPr="00094A7D">
        <w:rPr>
          <w:rFonts w:asciiTheme="majorHAnsi" w:hAnsiTheme="majorHAnsi" w:cstheme="majorHAnsi"/>
          <w:b/>
          <w:i/>
          <w:color w:val="000000"/>
          <w:sz w:val="22"/>
          <w:szCs w:val="22"/>
        </w:rPr>
        <w:t xml:space="preserve">Breakfast </w:t>
      </w:r>
      <w:r w:rsidR="001F2763" w:rsidRPr="00094A7D">
        <w:rPr>
          <w:rFonts w:asciiTheme="majorHAnsi" w:hAnsiTheme="majorHAnsi" w:cstheme="majorHAnsi"/>
          <w:b/>
          <w:i/>
          <w:color w:val="000000"/>
          <w:sz w:val="22"/>
          <w:szCs w:val="22"/>
        </w:rPr>
        <w:t>meetings</w:t>
      </w:r>
      <w:r w:rsidR="001F2763" w:rsidRPr="00094A7D">
        <w:rPr>
          <w:rFonts w:asciiTheme="majorHAnsi" w:hAnsiTheme="majorHAnsi" w:cstheme="majorHAnsi"/>
          <w:color w:val="000000"/>
          <w:sz w:val="22"/>
          <w:szCs w:val="22"/>
        </w:rPr>
        <w:t xml:space="preserve"> with individual trainers during the first few weeks of their first semester (see below).  </w:t>
      </w:r>
      <w:r w:rsidRPr="00094A7D">
        <w:rPr>
          <w:rFonts w:asciiTheme="majorHAnsi" w:hAnsiTheme="majorHAnsi" w:cstheme="majorHAnsi"/>
          <w:color w:val="000000"/>
          <w:sz w:val="22"/>
          <w:szCs w:val="22"/>
        </w:rPr>
        <w:t xml:space="preserve">So that the incoming students can begin their first rotations early in the first semester, the Program Director </w:t>
      </w:r>
      <w:r w:rsidR="0090678C" w:rsidRPr="00094A7D">
        <w:rPr>
          <w:rFonts w:asciiTheme="majorHAnsi" w:hAnsiTheme="majorHAnsi" w:cstheme="majorHAnsi"/>
          <w:color w:val="000000"/>
          <w:sz w:val="22"/>
          <w:szCs w:val="22"/>
        </w:rPr>
        <w:t>talks with</w:t>
      </w:r>
      <w:r w:rsidR="007C2FF1" w:rsidRPr="00094A7D">
        <w:rPr>
          <w:rFonts w:asciiTheme="majorHAnsi" w:hAnsiTheme="majorHAnsi" w:cstheme="majorHAnsi"/>
          <w:color w:val="000000"/>
          <w:sz w:val="22"/>
          <w:szCs w:val="22"/>
        </w:rPr>
        <w:t xml:space="preserve"> each of</w:t>
      </w:r>
      <w:r w:rsidR="0090678C" w:rsidRPr="00094A7D">
        <w:rPr>
          <w:rFonts w:asciiTheme="majorHAnsi" w:hAnsiTheme="majorHAnsi" w:cstheme="majorHAnsi"/>
          <w:color w:val="000000"/>
          <w:sz w:val="22"/>
          <w:szCs w:val="22"/>
        </w:rPr>
        <w:t xml:space="preserve"> </w:t>
      </w:r>
      <w:r w:rsidRPr="00094A7D">
        <w:rPr>
          <w:rFonts w:asciiTheme="majorHAnsi" w:hAnsiTheme="majorHAnsi" w:cstheme="majorHAnsi"/>
          <w:color w:val="000000"/>
          <w:sz w:val="22"/>
          <w:szCs w:val="22"/>
        </w:rPr>
        <w:t xml:space="preserve">them </w:t>
      </w:r>
      <w:r w:rsidR="007C2FF1" w:rsidRPr="00094A7D">
        <w:rPr>
          <w:rFonts w:asciiTheme="majorHAnsi" w:hAnsiTheme="majorHAnsi" w:cstheme="majorHAnsi"/>
          <w:color w:val="000000"/>
          <w:sz w:val="22"/>
          <w:szCs w:val="22"/>
        </w:rPr>
        <w:t xml:space="preserve">individually </w:t>
      </w:r>
      <w:r w:rsidR="0090678C" w:rsidRPr="00094A7D">
        <w:rPr>
          <w:rFonts w:asciiTheme="majorHAnsi" w:hAnsiTheme="majorHAnsi" w:cstheme="majorHAnsi"/>
          <w:color w:val="000000"/>
          <w:sz w:val="22"/>
          <w:szCs w:val="22"/>
        </w:rPr>
        <w:t>by phone</w:t>
      </w:r>
      <w:r w:rsidR="007C2FF1" w:rsidRPr="00094A7D">
        <w:rPr>
          <w:rFonts w:asciiTheme="majorHAnsi" w:hAnsiTheme="majorHAnsi" w:cstheme="majorHAnsi"/>
          <w:color w:val="000000"/>
          <w:sz w:val="22"/>
          <w:szCs w:val="22"/>
        </w:rPr>
        <w:t>,</w:t>
      </w:r>
      <w:r w:rsidR="0090678C" w:rsidRPr="00094A7D">
        <w:rPr>
          <w:rFonts w:asciiTheme="majorHAnsi" w:hAnsiTheme="majorHAnsi" w:cstheme="majorHAnsi"/>
          <w:color w:val="000000"/>
          <w:sz w:val="22"/>
          <w:szCs w:val="22"/>
        </w:rPr>
        <w:t xml:space="preserve"> </w:t>
      </w:r>
      <w:r w:rsidR="007C2FF1" w:rsidRPr="00094A7D">
        <w:rPr>
          <w:rFonts w:asciiTheme="majorHAnsi" w:hAnsiTheme="majorHAnsi" w:cstheme="majorHAnsi"/>
          <w:color w:val="000000"/>
          <w:sz w:val="22"/>
          <w:szCs w:val="22"/>
        </w:rPr>
        <w:t xml:space="preserve">or by Zoom or other online meeting platform, </w:t>
      </w:r>
      <w:r w:rsidR="0090678C" w:rsidRPr="00094A7D">
        <w:rPr>
          <w:rFonts w:asciiTheme="majorHAnsi" w:hAnsiTheme="majorHAnsi" w:cstheme="majorHAnsi"/>
          <w:color w:val="000000"/>
          <w:sz w:val="22"/>
          <w:szCs w:val="22"/>
        </w:rPr>
        <w:t>during the late spring or early</w:t>
      </w:r>
      <w:r w:rsidRPr="00094A7D">
        <w:rPr>
          <w:rFonts w:asciiTheme="majorHAnsi" w:hAnsiTheme="majorHAnsi" w:cstheme="majorHAnsi"/>
          <w:color w:val="000000"/>
          <w:sz w:val="22"/>
          <w:szCs w:val="22"/>
        </w:rPr>
        <w:t xml:space="preserve"> summer before they matriculate</w:t>
      </w:r>
      <w:r w:rsidR="007C2FF1" w:rsidRPr="00094A7D">
        <w:rPr>
          <w:rFonts w:asciiTheme="majorHAnsi" w:hAnsiTheme="majorHAnsi" w:cstheme="majorHAnsi"/>
          <w:color w:val="000000"/>
          <w:sz w:val="22"/>
          <w:szCs w:val="22"/>
        </w:rPr>
        <w:t>,</w:t>
      </w:r>
      <w:r w:rsidRPr="00094A7D">
        <w:rPr>
          <w:rFonts w:asciiTheme="majorHAnsi" w:hAnsiTheme="majorHAnsi" w:cstheme="majorHAnsi"/>
          <w:color w:val="000000"/>
          <w:sz w:val="22"/>
          <w:szCs w:val="22"/>
        </w:rPr>
        <w:t xml:space="preserve"> to help them choose their first rotation labs.</w:t>
      </w:r>
      <w:r w:rsidR="0090678C" w:rsidRPr="00094A7D">
        <w:rPr>
          <w:rFonts w:asciiTheme="majorHAnsi" w:hAnsiTheme="majorHAnsi" w:cstheme="majorHAnsi"/>
          <w:color w:val="000000"/>
          <w:sz w:val="22"/>
          <w:szCs w:val="22"/>
        </w:rPr>
        <w:t xml:space="preserve"> </w:t>
      </w:r>
      <w:r w:rsidR="0090678C" w:rsidRPr="00094A7D">
        <w:rPr>
          <w:rFonts w:asciiTheme="majorHAnsi" w:hAnsiTheme="majorHAnsi" w:cstheme="majorHAnsi"/>
          <w:sz w:val="22"/>
          <w:szCs w:val="22"/>
        </w:rPr>
        <w:t xml:space="preserve"> These discussions revolve around the students' research interests and the type of mentoring style they think might work best for them.  Following the phone discussions, and often follow-up emails, the students contact their prospective rotation advisors </w:t>
      </w:r>
      <w:r w:rsidR="003C04D1" w:rsidRPr="00094A7D">
        <w:rPr>
          <w:rFonts w:asciiTheme="majorHAnsi" w:hAnsiTheme="majorHAnsi" w:cstheme="majorHAnsi"/>
          <w:sz w:val="22"/>
          <w:szCs w:val="22"/>
        </w:rPr>
        <w:t>for permission to begin a rotation in the fall.</w:t>
      </w:r>
    </w:p>
    <w:p w14:paraId="68A2B8FE" w14:textId="77777777" w:rsidR="008C2CF5" w:rsidRPr="00094A7D" w:rsidRDefault="008C2CF5" w:rsidP="00B5560C">
      <w:pPr>
        <w:shd w:val="clear" w:color="auto" w:fill="FFFFFF"/>
        <w:jc w:val="both"/>
        <w:rPr>
          <w:rFonts w:asciiTheme="majorHAnsi" w:hAnsiTheme="majorHAnsi" w:cstheme="majorHAnsi"/>
          <w:sz w:val="22"/>
          <w:szCs w:val="22"/>
        </w:rPr>
      </w:pPr>
    </w:p>
    <w:p w14:paraId="6E942630" w14:textId="1094EC75" w:rsidR="00112781" w:rsidRPr="00094A7D" w:rsidRDefault="00024AA0" w:rsidP="00B5560C">
      <w:pPr>
        <w:shd w:val="clear" w:color="auto" w:fill="FFFFFF"/>
        <w:jc w:val="both"/>
        <w:rPr>
          <w:rFonts w:asciiTheme="majorHAnsi" w:hAnsiTheme="majorHAnsi" w:cstheme="majorHAnsi"/>
          <w:sz w:val="22"/>
          <w:szCs w:val="22"/>
        </w:rPr>
      </w:pPr>
      <w:r w:rsidRPr="00094A7D">
        <w:rPr>
          <w:rFonts w:asciiTheme="majorHAnsi" w:hAnsiTheme="majorHAnsi" w:cstheme="majorHAnsi"/>
          <w:sz w:val="22"/>
          <w:szCs w:val="22"/>
        </w:rPr>
        <w:t xml:space="preserve">When setting up a rotation, each student will complete a </w:t>
      </w:r>
      <w:r w:rsidRPr="00094A7D">
        <w:rPr>
          <w:rFonts w:asciiTheme="majorHAnsi" w:hAnsiTheme="majorHAnsi" w:cstheme="majorHAnsi"/>
          <w:b/>
          <w:bCs/>
          <w:i/>
          <w:iCs/>
          <w:sz w:val="22"/>
          <w:szCs w:val="22"/>
        </w:rPr>
        <w:t>Rotation Agreement Form</w:t>
      </w:r>
      <w:r w:rsidR="00A31712" w:rsidRPr="00094A7D">
        <w:rPr>
          <w:rFonts w:asciiTheme="majorHAnsi" w:hAnsiTheme="majorHAnsi" w:cstheme="majorHAnsi"/>
          <w:sz w:val="22"/>
          <w:szCs w:val="22"/>
        </w:rPr>
        <w:t xml:space="preserve"> </w:t>
      </w:r>
      <w:r w:rsidRPr="00094A7D">
        <w:rPr>
          <w:rFonts w:asciiTheme="majorHAnsi" w:hAnsiTheme="majorHAnsi" w:cstheme="majorHAnsi"/>
          <w:sz w:val="22"/>
          <w:szCs w:val="22"/>
        </w:rPr>
        <w:t xml:space="preserve">with the rotation advisor to </w:t>
      </w:r>
      <w:r w:rsidR="00A31712" w:rsidRPr="00094A7D">
        <w:rPr>
          <w:rFonts w:asciiTheme="majorHAnsi" w:hAnsiTheme="majorHAnsi" w:cstheme="majorHAnsi"/>
          <w:sz w:val="22"/>
          <w:szCs w:val="22"/>
        </w:rPr>
        <w:t xml:space="preserve">ensure </w:t>
      </w:r>
      <w:r w:rsidRPr="00094A7D">
        <w:rPr>
          <w:rFonts w:asciiTheme="majorHAnsi" w:hAnsiTheme="majorHAnsi" w:cstheme="majorHAnsi"/>
          <w:sz w:val="22"/>
          <w:szCs w:val="22"/>
        </w:rPr>
        <w:t xml:space="preserve">that there is agreement on expectations.  At the end of each rotation, the rotation advisor will complete </w:t>
      </w:r>
      <w:r w:rsidRPr="00094A7D">
        <w:rPr>
          <w:rFonts w:asciiTheme="majorHAnsi" w:hAnsiTheme="majorHAnsi" w:cstheme="majorHAnsi"/>
          <w:sz w:val="22"/>
          <w:szCs w:val="22"/>
        </w:rPr>
        <w:lastRenderedPageBreak/>
        <w:t xml:space="preserve">a </w:t>
      </w:r>
      <w:r w:rsidRPr="00094A7D">
        <w:rPr>
          <w:rFonts w:asciiTheme="majorHAnsi" w:hAnsiTheme="majorHAnsi" w:cstheme="majorHAnsi"/>
          <w:b/>
          <w:bCs/>
          <w:i/>
          <w:iCs/>
          <w:sz w:val="22"/>
          <w:szCs w:val="22"/>
        </w:rPr>
        <w:t>Rotation Evaluation Form</w:t>
      </w:r>
      <w:r w:rsidR="00A31712" w:rsidRPr="00094A7D">
        <w:rPr>
          <w:rFonts w:asciiTheme="majorHAnsi" w:hAnsiTheme="majorHAnsi" w:cstheme="majorHAnsi"/>
          <w:sz w:val="22"/>
          <w:szCs w:val="22"/>
        </w:rPr>
        <w:t xml:space="preserve"> </w:t>
      </w:r>
      <w:r w:rsidRPr="00094A7D">
        <w:rPr>
          <w:rFonts w:asciiTheme="majorHAnsi" w:hAnsiTheme="majorHAnsi" w:cstheme="majorHAnsi"/>
          <w:sz w:val="22"/>
          <w:szCs w:val="22"/>
        </w:rPr>
        <w:t>and discuss the evaluation with the student so that the assessment of the student's performance in the rotation is clear.  The student is</w:t>
      </w:r>
      <w:r w:rsidR="00A31712" w:rsidRPr="00094A7D">
        <w:rPr>
          <w:rFonts w:asciiTheme="majorHAnsi" w:hAnsiTheme="majorHAnsi" w:cstheme="majorHAnsi"/>
          <w:sz w:val="22"/>
          <w:szCs w:val="22"/>
        </w:rPr>
        <w:t xml:space="preserve"> </w:t>
      </w:r>
      <w:r w:rsidRPr="00094A7D">
        <w:rPr>
          <w:rFonts w:asciiTheme="majorHAnsi" w:hAnsiTheme="majorHAnsi" w:cstheme="majorHAnsi"/>
          <w:sz w:val="22"/>
          <w:szCs w:val="22"/>
        </w:rPr>
        <w:t>responsible for obtaining</w:t>
      </w:r>
      <w:r w:rsidR="00A31712" w:rsidRPr="00094A7D">
        <w:rPr>
          <w:rFonts w:asciiTheme="majorHAnsi" w:hAnsiTheme="majorHAnsi" w:cstheme="majorHAnsi"/>
          <w:sz w:val="22"/>
          <w:szCs w:val="22"/>
        </w:rPr>
        <w:t xml:space="preserve"> </w:t>
      </w:r>
      <w:r w:rsidRPr="00094A7D">
        <w:rPr>
          <w:rFonts w:asciiTheme="majorHAnsi" w:hAnsiTheme="majorHAnsi" w:cstheme="majorHAnsi"/>
          <w:sz w:val="22"/>
          <w:szCs w:val="22"/>
        </w:rPr>
        <w:t xml:space="preserve">the forms from the </w:t>
      </w:r>
      <w:r w:rsidR="00A2017C" w:rsidRPr="00094A7D">
        <w:rPr>
          <w:rFonts w:asciiTheme="majorHAnsi" w:hAnsiTheme="majorHAnsi" w:cstheme="majorHAnsi"/>
          <w:sz w:val="22"/>
          <w:szCs w:val="22"/>
        </w:rPr>
        <w:t>TSGP</w:t>
      </w:r>
      <w:r w:rsidRPr="00094A7D">
        <w:rPr>
          <w:rFonts w:asciiTheme="majorHAnsi" w:hAnsiTheme="majorHAnsi" w:cstheme="majorHAnsi"/>
          <w:sz w:val="22"/>
          <w:szCs w:val="22"/>
        </w:rPr>
        <w:t xml:space="preserve"> web site and returning the completed and signed forms to the Program Director and Program Coordinator.  If, before the end of a rotation, the student and/or advisor determine that there is not a good fit, the rotation can be terminated early </w:t>
      </w:r>
      <w:r w:rsidRPr="00094A7D">
        <w:rPr>
          <w:rFonts w:asciiTheme="majorHAnsi" w:hAnsiTheme="majorHAnsi" w:cstheme="majorHAnsi"/>
          <w:sz w:val="22"/>
          <w:szCs w:val="22"/>
          <w:u w:val="single"/>
        </w:rPr>
        <w:t>only</w:t>
      </w:r>
      <w:r w:rsidRPr="00094A7D">
        <w:rPr>
          <w:rFonts w:asciiTheme="majorHAnsi" w:hAnsiTheme="majorHAnsi" w:cstheme="majorHAnsi"/>
          <w:sz w:val="22"/>
          <w:szCs w:val="22"/>
        </w:rPr>
        <w:t xml:space="preserve"> with the approval of the Program Director and the Graduate Program Committee.  In this event, the student will discuss with the Program Director the selection and timing of a replacement rotation.</w:t>
      </w:r>
    </w:p>
    <w:p w14:paraId="4489E2A5" w14:textId="77777777" w:rsidR="00112781" w:rsidRPr="00094A7D" w:rsidRDefault="00112781" w:rsidP="0011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p w14:paraId="42D444F4" w14:textId="644B9E79" w:rsidR="00112781" w:rsidRPr="00094A7D" w:rsidRDefault="00112781" w:rsidP="0011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094A7D">
        <w:rPr>
          <w:rFonts w:asciiTheme="majorHAnsi" w:hAnsiTheme="majorHAnsi" w:cstheme="majorHAnsi"/>
          <w:b/>
          <w:i/>
          <w:color w:val="000000"/>
          <w:sz w:val="22"/>
          <w:szCs w:val="22"/>
        </w:rPr>
        <w:t>The rotations are completed as graduate independent study (BIOL 2980), for which the students receive grades.</w:t>
      </w:r>
      <w:r w:rsidRPr="00094A7D">
        <w:rPr>
          <w:rFonts w:asciiTheme="majorHAnsi" w:hAnsiTheme="majorHAnsi" w:cstheme="majorHAnsi"/>
          <w:color w:val="000000"/>
          <w:sz w:val="22"/>
          <w:szCs w:val="22"/>
        </w:rPr>
        <w:t xml:space="preserve">  </w:t>
      </w:r>
      <w:r w:rsidRPr="00094A7D">
        <w:rPr>
          <w:rFonts w:asciiTheme="majorHAnsi" w:hAnsiTheme="majorHAnsi" w:cstheme="majorHAnsi"/>
          <w:color w:val="000000"/>
          <w:sz w:val="22"/>
          <w:szCs w:val="22"/>
          <w:u w:val="single"/>
        </w:rPr>
        <w:t>During the first and second semesters, the Program Director is selected as the instructor for BIOL 2980</w:t>
      </w:r>
      <w:r w:rsidRPr="00094A7D">
        <w:rPr>
          <w:rFonts w:asciiTheme="majorHAnsi" w:hAnsiTheme="majorHAnsi" w:cstheme="majorHAnsi"/>
          <w:color w:val="000000"/>
          <w:sz w:val="22"/>
          <w:szCs w:val="22"/>
        </w:rPr>
        <w:t xml:space="preserve">, and </w:t>
      </w:r>
      <w:r w:rsidR="00B23328" w:rsidRPr="00094A7D">
        <w:rPr>
          <w:rFonts w:asciiTheme="majorHAnsi" w:hAnsiTheme="majorHAnsi" w:cstheme="majorHAnsi"/>
          <w:color w:val="000000"/>
          <w:sz w:val="22"/>
          <w:szCs w:val="22"/>
        </w:rPr>
        <w:t>the Director collects</w:t>
      </w:r>
      <w:r w:rsidRPr="00094A7D">
        <w:rPr>
          <w:rFonts w:asciiTheme="majorHAnsi" w:hAnsiTheme="majorHAnsi" w:cstheme="majorHAnsi"/>
          <w:color w:val="000000"/>
          <w:sz w:val="22"/>
          <w:szCs w:val="22"/>
        </w:rPr>
        <w:t xml:space="preserve"> input</w:t>
      </w:r>
      <w:r w:rsidR="00936A68" w:rsidRPr="00094A7D">
        <w:rPr>
          <w:rFonts w:asciiTheme="majorHAnsi" w:hAnsiTheme="majorHAnsi" w:cstheme="majorHAnsi"/>
          <w:color w:val="000000"/>
          <w:sz w:val="22"/>
          <w:szCs w:val="22"/>
        </w:rPr>
        <w:t xml:space="preserve"> </w:t>
      </w:r>
      <w:r w:rsidRPr="00094A7D">
        <w:rPr>
          <w:rFonts w:asciiTheme="majorHAnsi" w:hAnsiTheme="majorHAnsi" w:cstheme="majorHAnsi"/>
          <w:color w:val="000000"/>
          <w:sz w:val="22"/>
          <w:szCs w:val="22"/>
        </w:rPr>
        <w:t xml:space="preserve">from the respective research rotation advisors </w:t>
      </w:r>
      <w:r w:rsidR="00722E75" w:rsidRPr="00094A7D">
        <w:rPr>
          <w:rFonts w:asciiTheme="majorHAnsi" w:hAnsiTheme="majorHAnsi" w:cstheme="majorHAnsi"/>
          <w:color w:val="000000"/>
          <w:sz w:val="22"/>
          <w:szCs w:val="22"/>
        </w:rPr>
        <w:t xml:space="preserve">in assigning the course grade.  This input is obtained via </w:t>
      </w:r>
      <w:r w:rsidR="00936A68" w:rsidRPr="00094A7D">
        <w:rPr>
          <w:rFonts w:asciiTheme="majorHAnsi" w:hAnsiTheme="majorHAnsi" w:cstheme="majorHAnsi"/>
          <w:color w:val="000000"/>
          <w:sz w:val="22"/>
          <w:szCs w:val="22"/>
        </w:rPr>
        <w:t>R</w:t>
      </w:r>
      <w:r w:rsidR="00722E75" w:rsidRPr="00094A7D">
        <w:rPr>
          <w:rFonts w:asciiTheme="majorHAnsi" w:hAnsiTheme="majorHAnsi" w:cstheme="majorHAnsi"/>
          <w:color w:val="000000"/>
          <w:sz w:val="22"/>
          <w:szCs w:val="22"/>
        </w:rPr>
        <w:t xml:space="preserve">otation </w:t>
      </w:r>
      <w:r w:rsidR="00936A68" w:rsidRPr="00094A7D">
        <w:rPr>
          <w:rFonts w:asciiTheme="majorHAnsi" w:hAnsiTheme="majorHAnsi" w:cstheme="majorHAnsi"/>
          <w:color w:val="000000"/>
          <w:sz w:val="22"/>
          <w:szCs w:val="22"/>
        </w:rPr>
        <w:t>E</w:t>
      </w:r>
      <w:r w:rsidR="00722E75" w:rsidRPr="00094A7D">
        <w:rPr>
          <w:rFonts w:asciiTheme="majorHAnsi" w:hAnsiTheme="majorHAnsi" w:cstheme="majorHAnsi"/>
          <w:color w:val="000000"/>
          <w:sz w:val="22"/>
          <w:szCs w:val="22"/>
        </w:rPr>
        <w:t xml:space="preserve">valuation </w:t>
      </w:r>
      <w:r w:rsidR="00936A68" w:rsidRPr="00094A7D">
        <w:rPr>
          <w:rFonts w:asciiTheme="majorHAnsi" w:hAnsiTheme="majorHAnsi" w:cstheme="majorHAnsi"/>
          <w:color w:val="000000"/>
          <w:sz w:val="22"/>
          <w:szCs w:val="22"/>
        </w:rPr>
        <w:t>F</w:t>
      </w:r>
      <w:r w:rsidR="00722E75" w:rsidRPr="00094A7D">
        <w:rPr>
          <w:rFonts w:asciiTheme="majorHAnsi" w:hAnsiTheme="majorHAnsi" w:cstheme="majorHAnsi"/>
          <w:color w:val="000000"/>
          <w:sz w:val="22"/>
          <w:szCs w:val="22"/>
        </w:rPr>
        <w:t>orms</w:t>
      </w:r>
      <w:r w:rsidR="00B23328" w:rsidRPr="00094A7D">
        <w:rPr>
          <w:rFonts w:asciiTheme="majorHAnsi" w:hAnsiTheme="majorHAnsi" w:cstheme="majorHAnsi"/>
          <w:color w:val="000000"/>
          <w:sz w:val="22"/>
          <w:szCs w:val="22"/>
        </w:rPr>
        <w:t>, or by email if the student has not completed the rotation by the time the grades are due</w:t>
      </w:r>
      <w:r w:rsidR="00722E75" w:rsidRPr="00094A7D">
        <w:rPr>
          <w:rFonts w:asciiTheme="majorHAnsi" w:hAnsiTheme="majorHAnsi" w:cstheme="majorHAnsi"/>
          <w:color w:val="000000"/>
          <w:sz w:val="22"/>
          <w:szCs w:val="22"/>
        </w:rPr>
        <w:t>.  I</w:t>
      </w:r>
      <w:r w:rsidRPr="00094A7D">
        <w:rPr>
          <w:rFonts w:asciiTheme="majorHAnsi" w:hAnsiTheme="majorHAnsi" w:cstheme="majorHAnsi"/>
          <w:color w:val="000000"/>
          <w:sz w:val="22"/>
          <w:szCs w:val="22"/>
        </w:rPr>
        <w:t xml:space="preserve">n subsequent semesters, </w:t>
      </w:r>
      <w:r w:rsidR="00722E75" w:rsidRPr="00094A7D">
        <w:rPr>
          <w:rFonts w:asciiTheme="majorHAnsi" w:hAnsiTheme="majorHAnsi" w:cstheme="majorHAnsi"/>
          <w:color w:val="000000"/>
          <w:sz w:val="22"/>
          <w:szCs w:val="22"/>
        </w:rPr>
        <w:t xml:space="preserve">BIOL 2980 encompasses thesis research; thus, beyond the first 2 semesters, </w:t>
      </w:r>
      <w:r w:rsidRPr="00094A7D">
        <w:rPr>
          <w:rFonts w:asciiTheme="majorHAnsi" w:hAnsiTheme="majorHAnsi" w:cstheme="majorHAnsi"/>
          <w:color w:val="000000"/>
          <w:sz w:val="22"/>
          <w:szCs w:val="22"/>
        </w:rPr>
        <w:t xml:space="preserve">each student's </w:t>
      </w:r>
      <w:r w:rsidRPr="00094A7D">
        <w:rPr>
          <w:rFonts w:asciiTheme="majorHAnsi" w:hAnsiTheme="majorHAnsi" w:cstheme="majorHAnsi"/>
          <w:color w:val="000000"/>
          <w:sz w:val="22"/>
          <w:szCs w:val="22"/>
          <w:u w:val="single"/>
        </w:rPr>
        <w:t>Thesis Advisor</w:t>
      </w:r>
      <w:r w:rsidRPr="00094A7D">
        <w:rPr>
          <w:rFonts w:asciiTheme="majorHAnsi" w:hAnsiTheme="majorHAnsi" w:cstheme="majorHAnsi"/>
          <w:color w:val="000000"/>
          <w:sz w:val="22"/>
          <w:szCs w:val="22"/>
        </w:rPr>
        <w:t xml:space="preserve"> is indicated as the instructor for BIOL 2980, and assigns the grade directly. </w:t>
      </w:r>
      <w:r w:rsidR="00722E75" w:rsidRPr="00094A7D">
        <w:rPr>
          <w:rFonts w:asciiTheme="majorHAnsi" w:hAnsiTheme="majorHAnsi" w:cstheme="majorHAnsi"/>
          <w:color w:val="000000"/>
          <w:sz w:val="22"/>
          <w:szCs w:val="22"/>
        </w:rPr>
        <w:t xml:space="preserve"> </w:t>
      </w:r>
      <w:r w:rsidR="00AB5A3D" w:rsidRPr="00094A7D">
        <w:rPr>
          <w:rFonts w:asciiTheme="majorHAnsi" w:hAnsiTheme="majorHAnsi" w:cstheme="majorHAnsi"/>
          <w:color w:val="000000"/>
          <w:sz w:val="22"/>
          <w:szCs w:val="22"/>
        </w:rPr>
        <w:t>If the student receives a B in BIOL 2980, their academic standing may be reduced from good to satisfactory.  If the student receives a C in BIOL 2980, they wil</w:t>
      </w:r>
      <w:r w:rsidR="00052338" w:rsidRPr="00094A7D">
        <w:rPr>
          <w:rFonts w:asciiTheme="majorHAnsi" w:hAnsiTheme="majorHAnsi" w:cstheme="majorHAnsi"/>
          <w:color w:val="000000"/>
          <w:sz w:val="22"/>
          <w:szCs w:val="22"/>
        </w:rPr>
        <w:t>l be placed on academic warning</w:t>
      </w:r>
      <w:r w:rsidRPr="00094A7D">
        <w:rPr>
          <w:rFonts w:asciiTheme="majorHAnsi" w:hAnsiTheme="majorHAnsi" w:cstheme="majorHAnsi"/>
          <w:color w:val="000000"/>
          <w:sz w:val="22"/>
          <w:szCs w:val="22"/>
        </w:rPr>
        <w:t xml:space="preserve">. </w:t>
      </w:r>
    </w:p>
    <w:p w14:paraId="5D17BBD0" w14:textId="77777777" w:rsidR="00FB2AFC" w:rsidRPr="00094A7D" w:rsidRDefault="00FB2AFC" w:rsidP="0011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47D3A368" w14:textId="4C665EDE" w:rsidR="008E248A" w:rsidRPr="00094A7D" w:rsidRDefault="0016794B" w:rsidP="008E248A">
      <w:pPr>
        <w:jc w:val="both"/>
        <w:rPr>
          <w:rFonts w:asciiTheme="majorHAnsi" w:hAnsiTheme="majorHAnsi" w:cstheme="majorHAnsi"/>
          <w:color w:val="000000"/>
          <w:sz w:val="22"/>
          <w:szCs w:val="22"/>
        </w:rPr>
      </w:pPr>
      <w:r w:rsidRPr="00094A7D">
        <w:rPr>
          <w:rFonts w:asciiTheme="majorHAnsi" w:hAnsiTheme="majorHAnsi" w:cstheme="majorHAnsi"/>
          <w:color w:val="000000"/>
          <w:sz w:val="22"/>
          <w:szCs w:val="22"/>
        </w:rPr>
        <w:t xml:space="preserve">Near </w:t>
      </w:r>
      <w:r w:rsidR="00112781" w:rsidRPr="00094A7D">
        <w:rPr>
          <w:rFonts w:asciiTheme="majorHAnsi" w:hAnsiTheme="majorHAnsi" w:cstheme="majorHAnsi"/>
          <w:color w:val="000000"/>
          <w:sz w:val="22"/>
          <w:szCs w:val="22"/>
        </w:rPr>
        <w:t xml:space="preserve">the end of the second semester of the first year, each first-year student is required to give a </w:t>
      </w:r>
      <w:r w:rsidR="00112781" w:rsidRPr="00094A7D">
        <w:rPr>
          <w:rFonts w:asciiTheme="majorHAnsi" w:hAnsiTheme="majorHAnsi" w:cstheme="majorHAnsi"/>
          <w:b/>
          <w:i/>
          <w:color w:val="000000"/>
          <w:sz w:val="22"/>
          <w:szCs w:val="22"/>
        </w:rPr>
        <w:t>short oral presentation</w:t>
      </w:r>
      <w:r w:rsidR="00112781" w:rsidRPr="00094A7D">
        <w:rPr>
          <w:rFonts w:asciiTheme="majorHAnsi" w:hAnsiTheme="majorHAnsi" w:cstheme="majorHAnsi"/>
          <w:color w:val="000000"/>
          <w:sz w:val="22"/>
          <w:szCs w:val="22"/>
        </w:rPr>
        <w:t xml:space="preserve"> </w:t>
      </w:r>
      <w:r w:rsidR="00A31712" w:rsidRPr="00094A7D">
        <w:rPr>
          <w:rFonts w:asciiTheme="majorHAnsi" w:hAnsiTheme="majorHAnsi" w:cstheme="majorHAnsi"/>
          <w:color w:val="000000"/>
          <w:sz w:val="22"/>
          <w:szCs w:val="22"/>
        </w:rPr>
        <w:t xml:space="preserve">(about 10-13 minutes) </w:t>
      </w:r>
      <w:r w:rsidR="008A4F8E" w:rsidRPr="00094A7D">
        <w:rPr>
          <w:rFonts w:asciiTheme="majorHAnsi" w:hAnsiTheme="majorHAnsi" w:cstheme="majorHAnsi"/>
          <w:color w:val="000000"/>
          <w:sz w:val="22"/>
          <w:szCs w:val="22"/>
        </w:rPr>
        <w:t xml:space="preserve">in May </w:t>
      </w:r>
      <w:r w:rsidR="00112781" w:rsidRPr="00094A7D">
        <w:rPr>
          <w:rFonts w:asciiTheme="majorHAnsi" w:hAnsiTheme="majorHAnsi" w:cstheme="majorHAnsi"/>
          <w:color w:val="000000"/>
          <w:sz w:val="22"/>
          <w:szCs w:val="22"/>
        </w:rPr>
        <w:t xml:space="preserve">summarizing one of </w:t>
      </w:r>
      <w:r w:rsidR="00A31712" w:rsidRPr="00094A7D">
        <w:rPr>
          <w:rFonts w:asciiTheme="majorHAnsi" w:hAnsiTheme="majorHAnsi" w:cstheme="majorHAnsi"/>
          <w:color w:val="000000"/>
          <w:sz w:val="22"/>
          <w:szCs w:val="22"/>
        </w:rPr>
        <w:t>their</w:t>
      </w:r>
      <w:r w:rsidR="00112781" w:rsidRPr="00094A7D">
        <w:rPr>
          <w:rFonts w:asciiTheme="majorHAnsi" w:hAnsiTheme="majorHAnsi" w:cstheme="majorHAnsi"/>
          <w:color w:val="000000"/>
          <w:sz w:val="22"/>
          <w:szCs w:val="22"/>
        </w:rPr>
        <w:t xml:space="preserve"> rotation projects to the </w:t>
      </w:r>
      <w:r w:rsidR="008A4F8E" w:rsidRPr="00094A7D">
        <w:rPr>
          <w:rFonts w:asciiTheme="majorHAnsi" w:hAnsiTheme="majorHAnsi" w:cstheme="majorHAnsi"/>
          <w:color w:val="000000"/>
          <w:sz w:val="22"/>
          <w:szCs w:val="22"/>
        </w:rPr>
        <w:t>TSGP trainers and students</w:t>
      </w:r>
      <w:r w:rsidR="00112781" w:rsidRPr="00094A7D">
        <w:rPr>
          <w:rFonts w:asciiTheme="majorHAnsi" w:hAnsiTheme="majorHAnsi" w:cstheme="majorHAnsi"/>
          <w:color w:val="000000"/>
          <w:sz w:val="22"/>
          <w:szCs w:val="22"/>
        </w:rPr>
        <w:t xml:space="preserve"> </w:t>
      </w:r>
      <w:r w:rsidRPr="00094A7D">
        <w:rPr>
          <w:rFonts w:asciiTheme="majorHAnsi" w:hAnsiTheme="majorHAnsi" w:cstheme="majorHAnsi"/>
          <w:color w:val="000000"/>
          <w:sz w:val="22"/>
          <w:szCs w:val="22"/>
        </w:rPr>
        <w:t>and other interested members of the Brown community</w:t>
      </w:r>
      <w:r w:rsidR="008A4F8E" w:rsidRPr="00094A7D">
        <w:rPr>
          <w:rFonts w:asciiTheme="majorHAnsi" w:hAnsiTheme="majorHAnsi" w:cstheme="majorHAnsi"/>
          <w:color w:val="000000"/>
          <w:sz w:val="22"/>
          <w:szCs w:val="22"/>
        </w:rPr>
        <w:t>.  Multiple first-year students present in one or two TSGP seminars; if there are more than 4 students in that class, two seminar sessions are required to allow all students to present.</w:t>
      </w:r>
    </w:p>
    <w:p w14:paraId="6CBD2738" w14:textId="77777777" w:rsidR="008E248A" w:rsidRPr="00AB6B77" w:rsidRDefault="008E248A" w:rsidP="008E248A">
      <w:pPr>
        <w:jc w:val="both"/>
        <w:rPr>
          <w:rFonts w:asciiTheme="majorHAnsi" w:hAnsiTheme="majorHAnsi" w:cstheme="majorHAnsi"/>
          <w:color w:val="000000"/>
          <w:sz w:val="22"/>
          <w:szCs w:val="22"/>
        </w:rPr>
      </w:pPr>
    </w:p>
    <w:p w14:paraId="530A790C" w14:textId="23453F02" w:rsidR="0056085C" w:rsidRPr="00AB6B77" w:rsidRDefault="00C5266E" w:rsidP="008E248A">
      <w:pPr>
        <w:jc w:val="both"/>
        <w:rPr>
          <w:rFonts w:asciiTheme="majorHAnsi" w:hAnsiTheme="majorHAnsi" w:cstheme="majorHAnsi"/>
          <w:color w:val="000000"/>
          <w:sz w:val="22"/>
          <w:szCs w:val="22"/>
        </w:rPr>
      </w:pPr>
      <w:r w:rsidRPr="00AB6B77">
        <w:rPr>
          <w:rFonts w:asciiTheme="majorHAnsi" w:hAnsiTheme="majorHAnsi" w:cstheme="majorHAnsi"/>
          <w:b/>
          <w:i/>
          <w:color w:val="000000"/>
          <w:sz w:val="22"/>
          <w:szCs w:val="22"/>
          <w:u w:val="single"/>
        </w:rPr>
        <w:t>Some advice for rotations</w:t>
      </w:r>
      <w:r w:rsidR="00D83D08" w:rsidRPr="00AB6B77">
        <w:rPr>
          <w:rFonts w:asciiTheme="majorHAnsi" w:hAnsiTheme="majorHAnsi" w:cstheme="majorHAnsi"/>
          <w:b/>
          <w:i/>
          <w:color w:val="000000"/>
          <w:sz w:val="22"/>
          <w:szCs w:val="22"/>
          <w:u w:val="single"/>
        </w:rPr>
        <w:t>:</w:t>
      </w:r>
      <w:r w:rsidR="00D83D08" w:rsidRPr="00AB6B77">
        <w:rPr>
          <w:rFonts w:asciiTheme="majorHAnsi" w:hAnsiTheme="majorHAnsi" w:cstheme="majorHAnsi"/>
          <w:color w:val="000000"/>
          <w:sz w:val="22"/>
          <w:szCs w:val="22"/>
        </w:rPr>
        <w:t xml:space="preserve">  </w:t>
      </w:r>
      <w:r w:rsidR="00F833B0" w:rsidRPr="00AB6B77">
        <w:rPr>
          <w:rFonts w:asciiTheme="majorHAnsi" w:hAnsiTheme="majorHAnsi" w:cstheme="majorHAnsi"/>
          <w:color w:val="000000"/>
          <w:sz w:val="22"/>
          <w:szCs w:val="22"/>
        </w:rPr>
        <w:t xml:space="preserve">It is extremely important that students take the rotations very seriously, work very hard, and take ownership of their rotation projects.  They should be thinking deeply about their projects and the "big picture", </w:t>
      </w:r>
      <w:r w:rsidR="00644B55" w:rsidRPr="00AB6B77">
        <w:rPr>
          <w:rFonts w:asciiTheme="majorHAnsi" w:hAnsiTheme="majorHAnsi" w:cstheme="majorHAnsi"/>
          <w:color w:val="000000"/>
          <w:sz w:val="22"/>
          <w:szCs w:val="22"/>
        </w:rPr>
        <w:t xml:space="preserve">finding and </w:t>
      </w:r>
      <w:r w:rsidR="00F833B0" w:rsidRPr="00AB6B77">
        <w:rPr>
          <w:rFonts w:asciiTheme="majorHAnsi" w:hAnsiTheme="majorHAnsi" w:cstheme="majorHAnsi"/>
          <w:color w:val="000000"/>
          <w:sz w:val="22"/>
          <w:szCs w:val="22"/>
        </w:rPr>
        <w:t xml:space="preserve">reading the appropriate literature, </w:t>
      </w:r>
      <w:r w:rsidR="00644B55" w:rsidRPr="00AB6B77">
        <w:rPr>
          <w:rFonts w:asciiTheme="majorHAnsi" w:hAnsiTheme="majorHAnsi" w:cstheme="majorHAnsi"/>
          <w:color w:val="000000"/>
          <w:sz w:val="22"/>
          <w:szCs w:val="22"/>
        </w:rPr>
        <w:t xml:space="preserve">asking questions as needed, </w:t>
      </w:r>
      <w:r w:rsidR="00F833B0" w:rsidRPr="00AB6B77">
        <w:rPr>
          <w:rFonts w:asciiTheme="majorHAnsi" w:hAnsiTheme="majorHAnsi" w:cstheme="majorHAnsi"/>
          <w:color w:val="000000"/>
          <w:sz w:val="22"/>
          <w:szCs w:val="22"/>
        </w:rPr>
        <w:t xml:space="preserve">and learning to troubleshoot their </w:t>
      </w:r>
      <w:r w:rsidR="00644B55" w:rsidRPr="00AB6B77">
        <w:rPr>
          <w:rFonts w:asciiTheme="majorHAnsi" w:hAnsiTheme="majorHAnsi" w:cstheme="majorHAnsi"/>
          <w:color w:val="000000"/>
          <w:sz w:val="22"/>
          <w:szCs w:val="22"/>
        </w:rPr>
        <w:t xml:space="preserve">own </w:t>
      </w:r>
      <w:r w:rsidR="00F833B0" w:rsidRPr="00AB6B77">
        <w:rPr>
          <w:rFonts w:asciiTheme="majorHAnsi" w:hAnsiTheme="majorHAnsi" w:cstheme="majorHAnsi"/>
          <w:color w:val="000000"/>
          <w:sz w:val="22"/>
          <w:szCs w:val="22"/>
        </w:rPr>
        <w:t xml:space="preserve">research.  Rotations are not just for students to judge the lab, project and mentor.  </w:t>
      </w:r>
      <w:r w:rsidR="00975E42" w:rsidRPr="00AB6B77">
        <w:rPr>
          <w:rFonts w:asciiTheme="majorHAnsi" w:hAnsiTheme="majorHAnsi" w:cstheme="majorHAnsi"/>
          <w:color w:val="000000"/>
          <w:sz w:val="22"/>
          <w:szCs w:val="22"/>
        </w:rPr>
        <w:t>Each student is</w:t>
      </w:r>
      <w:r w:rsidR="00F833B0" w:rsidRPr="00AB6B77">
        <w:rPr>
          <w:rFonts w:asciiTheme="majorHAnsi" w:hAnsiTheme="majorHAnsi" w:cstheme="majorHAnsi"/>
          <w:color w:val="000000"/>
          <w:sz w:val="22"/>
          <w:szCs w:val="22"/>
        </w:rPr>
        <w:t xml:space="preserve"> also being judged</w:t>
      </w:r>
      <w:r w:rsidR="009602D3" w:rsidRPr="00AB6B77">
        <w:rPr>
          <w:rFonts w:asciiTheme="majorHAnsi" w:hAnsiTheme="majorHAnsi" w:cstheme="majorHAnsi"/>
          <w:color w:val="000000"/>
          <w:sz w:val="22"/>
          <w:szCs w:val="22"/>
        </w:rPr>
        <w:t xml:space="preserve"> regarding suitability as a potential new lab member</w:t>
      </w:r>
      <w:r w:rsidR="00F833B0" w:rsidRPr="00AB6B77">
        <w:rPr>
          <w:rFonts w:asciiTheme="majorHAnsi" w:hAnsiTheme="majorHAnsi" w:cstheme="majorHAnsi"/>
          <w:color w:val="000000"/>
          <w:sz w:val="22"/>
          <w:szCs w:val="22"/>
        </w:rPr>
        <w:t xml:space="preserve">.  Just coming into </w:t>
      </w:r>
      <w:r w:rsidR="00644B55" w:rsidRPr="00AB6B77">
        <w:rPr>
          <w:rFonts w:asciiTheme="majorHAnsi" w:hAnsiTheme="majorHAnsi" w:cstheme="majorHAnsi"/>
          <w:color w:val="000000"/>
          <w:sz w:val="22"/>
          <w:szCs w:val="22"/>
        </w:rPr>
        <w:t>a</w:t>
      </w:r>
      <w:r w:rsidR="00F833B0" w:rsidRPr="00AB6B77">
        <w:rPr>
          <w:rFonts w:asciiTheme="majorHAnsi" w:hAnsiTheme="majorHAnsi" w:cstheme="majorHAnsi"/>
          <w:color w:val="000000"/>
          <w:sz w:val="22"/>
          <w:szCs w:val="22"/>
        </w:rPr>
        <w:t xml:space="preserve"> lab now and then and following a </w:t>
      </w:r>
      <w:r w:rsidR="004672DF" w:rsidRPr="00AB6B77">
        <w:rPr>
          <w:rFonts w:asciiTheme="majorHAnsi" w:hAnsiTheme="majorHAnsi" w:cstheme="majorHAnsi"/>
          <w:color w:val="000000"/>
          <w:sz w:val="22"/>
          <w:szCs w:val="22"/>
        </w:rPr>
        <w:t>pre-determined</w:t>
      </w:r>
      <w:r w:rsidR="00F833B0" w:rsidRPr="00AB6B77">
        <w:rPr>
          <w:rFonts w:asciiTheme="majorHAnsi" w:hAnsiTheme="majorHAnsi" w:cstheme="majorHAnsi"/>
          <w:color w:val="000000"/>
          <w:sz w:val="22"/>
          <w:szCs w:val="22"/>
        </w:rPr>
        <w:t xml:space="preserve"> protocol does not qualify as functioning as a graduate student.  </w:t>
      </w:r>
      <w:r w:rsidR="00347F2B" w:rsidRPr="00AB6B77">
        <w:rPr>
          <w:rFonts w:asciiTheme="majorHAnsi" w:hAnsiTheme="majorHAnsi" w:cstheme="majorHAnsi"/>
          <w:color w:val="000000"/>
          <w:sz w:val="22"/>
          <w:szCs w:val="22"/>
        </w:rPr>
        <w:t xml:space="preserve">Neither does putting in a certain number of hours in the lab but not actually doing science when present.  </w:t>
      </w:r>
      <w:r w:rsidR="00644B55" w:rsidRPr="00AB6B77">
        <w:rPr>
          <w:rFonts w:asciiTheme="majorHAnsi" w:hAnsiTheme="majorHAnsi" w:cstheme="majorHAnsi"/>
          <w:color w:val="000000"/>
          <w:sz w:val="22"/>
          <w:szCs w:val="22"/>
        </w:rPr>
        <w:t>I</w:t>
      </w:r>
      <w:r w:rsidR="00F833B0" w:rsidRPr="00AB6B77">
        <w:rPr>
          <w:rFonts w:asciiTheme="majorHAnsi" w:hAnsiTheme="majorHAnsi" w:cstheme="majorHAnsi"/>
          <w:color w:val="000000"/>
          <w:sz w:val="22"/>
          <w:szCs w:val="22"/>
        </w:rPr>
        <w:t>f the student takes the experience too lightly, they may end up with no invitations to join a lab for their thesis research</w:t>
      </w:r>
      <w:r w:rsidR="00644B55" w:rsidRPr="00AB6B77">
        <w:rPr>
          <w:rFonts w:asciiTheme="majorHAnsi" w:hAnsiTheme="majorHAnsi" w:cstheme="majorHAnsi"/>
          <w:color w:val="000000"/>
          <w:sz w:val="22"/>
          <w:szCs w:val="22"/>
        </w:rPr>
        <w:t>, which is cause for placement on academic warning, with eventual dismissal from the program a distinct possibility</w:t>
      </w:r>
      <w:r w:rsidR="00F833B0" w:rsidRPr="00AB6B77">
        <w:rPr>
          <w:rFonts w:asciiTheme="majorHAnsi" w:hAnsiTheme="majorHAnsi" w:cstheme="majorHAnsi"/>
          <w:color w:val="000000"/>
          <w:sz w:val="22"/>
          <w:szCs w:val="22"/>
        </w:rPr>
        <w:t xml:space="preserve">.  A </w:t>
      </w:r>
      <w:r w:rsidR="00644B55" w:rsidRPr="00AB6B77">
        <w:rPr>
          <w:rFonts w:asciiTheme="majorHAnsi" w:hAnsiTheme="majorHAnsi" w:cstheme="majorHAnsi"/>
          <w:color w:val="000000"/>
          <w:sz w:val="22"/>
          <w:szCs w:val="22"/>
        </w:rPr>
        <w:t xml:space="preserve">successful </w:t>
      </w:r>
      <w:r w:rsidR="00F833B0" w:rsidRPr="00AB6B77">
        <w:rPr>
          <w:rFonts w:asciiTheme="majorHAnsi" w:hAnsiTheme="majorHAnsi" w:cstheme="majorHAnsi"/>
          <w:color w:val="000000"/>
          <w:sz w:val="22"/>
          <w:szCs w:val="22"/>
        </w:rPr>
        <w:t xml:space="preserve">career in science requires a </w:t>
      </w:r>
      <w:r w:rsidR="00D83D08" w:rsidRPr="00AB6B77">
        <w:rPr>
          <w:rFonts w:asciiTheme="majorHAnsi" w:hAnsiTheme="majorHAnsi" w:cstheme="majorHAnsi"/>
          <w:color w:val="000000"/>
          <w:sz w:val="22"/>
          <w:szCs w:val="22"/>
        </w:rPr>
        <w:t>huge</w:t>
      </w:r>
      <w:r w:rsidR="00644B55" w:rsidRPr="00AB6B77">
        <w:rPr>
          <w:rFonts w:asciiTheme="majorHAnsi" w:hAnsiTheme="majorHAnsi" w:cstheme="majorHAnsi"/>
          <w:color w:val="000000"/>
          <w:sz w:val="22"/>
          <w:szCs w:val="22"/>
        </w:rPr>
        <w:t>, life-long</w:t>
      </w:r>
      <w:r w:rsidR="00D83D08" w:rsidRPr="00AB6B77">
        <w:rPr>
          <w:rFonts w:asciiTheme="majorHAnsi" w:hAnsiTheme="majorHAnsi" w:cstheme="majorHAnsi"/>
          <w:color w:val="000000"/>
          <w:sz w:val="22"/>
          <w:szCs w:val="22"/>
        </w:rPr>
        <w:t xml:space="preserve"> commitment of time, effort and thought, and this all begins in graduate school. </w:t>
      </w:r>
      <w:r w:rsidR="00644B55" w:rsidRPr="00AB6B77">
        <w:rPr>
          <w:rFonts w:asciiTheme="majorHAnsi" w:hAnsiTheme="majorHAnsi" w:cstheme="majorHAnsi"/>
          <w:color w:val="000000"/>
          <w:sz w:val="22"/>
          <w:szCs w:val="22"/>
        </w:rPr>
        <w:t xml:space="preserve"> This kind of commitment requires a passion for </w:t>
      </w:r>
      <w:r w:rsidR="00F24692" w:rsidRPr="00AB6B77">
        <w:rPr>
          <w:rFonts w:asciiTheme="majorHAnsi" w:hAnsiTheme="majorHAnsi" w:cstheme="majorHAnsi"/>
          <w:color w:val="000000"/>
          <w:sz w:val="22"/>
          <w:szCs w:val="22"/>
        </w:rPr>
        <w:t xml:space="preserve">scientific </w:t>
      </w:r>
      <w:r w:rsidR="00644B55" w:rsidRPr="00AB6B77">
        <w:rPr>
          <w:rFonts w:asciiTheme="majorHAnsi" w:hAnsiTheme="majorHAnsi" w:cstheme="majorHAnsi"/>
          <w:color w:val="000000"/>
          <w:sz w:val="22"/>
          <w:szCs w:val="22"/>
        </w:rPr>
        <w:t>research.  If this passion is not present, a student should give serious thought to whether this is the correct path for them.</w:t>
      </w:r>
      <w:r w:rsidR="00980EF3" w:rsidRPr="00AB6B77">
        <w:rPr>
          <w:rFonts w:asciiTheme="majorHAnsi" w:hAnsiTheme="majorHAnsi" w:cstheme="majorHAnsi"/>
          <w:color w:val="000000"/>
          <w:sz w:val="22"/>
          <w:szCs w:val="22"/>
        </w:rPr>
        <w:t xml:space="preserve">  Choosing another path for which they have greater passion is not failure; it is a sign of maturity.  Students should feel free to discuss these ideas with the Program Director.</w:t>
      </w:r>
    </w:p>
    <w:p w14:paraId="38017FA4" w14:textId="2C8A9A4F" w:rsidR="00800773" w:rsidRPr="00CC4885" w:rsidRDefault="00800773" w:rsidP="008E248A">
      <w:pPr>
        <w:jc w:val="both"/>
        <w:rPr>
          <w:rFonts w:asciiTheme="majorHAnsi" w:hAnsiTheme="majorHAnsi" w:cstheme="majorHAnsi"/>
          <w:color w:val="000000"/>
        </w:rPr>
      </w:pPr>
    </w:p>
    <w:p w14:paraId="5C4E9978" w14:textId="6D32B6B6" w:rsidR="00800773" w:rsidRPr="00AB6B77" w:rsidRDefault="00800773" w:rsidP="008E248A">
      <w:pPr>
        <w:jc w:val="both"/>
        <w:rPr>
          <w:rFonts w:asciiTheme="majorHAnsi" w:hAnsiTheme="majorHAnsi" w:cstheme="majorHAnsi"/>
          <w:color w:val="000000"/>
          <w:sz w:val="22"/>
          <w:szCs w:val="22"/>
        </w:rPr>
      </w:pPr>
      <w:r w:rsidRPr="00AB6B77">
        <w:rPr>
          <w:rFonts w:asciiTheme="majorHAnsi" w:hAnsiTheme="majorHAnsi" w:cstheme="majorHAnsi"/>
          <w:b/>
          <w:bCs/>
          <w:i/>
          <w:iCs/>
          <w:color w:val="000000"/>
          <w:sz w:val="22"/>
          <w:szCs w:val="22"/>
          <w:u w:val="single"/>
        </w:rPr>
        <w:t>Pfizer Summer Internships</w:t>
      </w:r>
      <w:r w:rsidRPr="00AB6B77">
        <w:rPr>
          <w:rFonts w:asciiTheme="majorHAnsi" w:hAnsiTheme="majorHAnsi" w:cstheme="majorHAnsi"/>
          <w:color w:val="000000"/>
          <w:sz w:val="22"/>
          <w:szCs w:val="22"/>
        </w:rPr>
        <w:t xml:space="preserve">.  These </w:t>
      </w:r>
      <w:r w:rsidR="009C6239" w:rsidRPr="00AB6B77">
        <w:rPr>
          <w:rFonts w:asciiTheme="majorHAnsi" w:hAnsiTheme="majorHAnsi" w:cstheme="majorHAnsi"/>
          <w:color w:val="000000"/>
          <w:sz w:val="22"/>
          <w:szCs w:val="22"/>
        </w:rPr>
        <w:t xml:space="preserve">internships are designed to provide interested students with a glimpse of life in the pharmaceutical industry.  They </w:t>
      </w:r>
      <w:r w:rsidRPr="00AB6B77">
        <w:rPr>
          <w:rFonts w:asciiTheme="majorHAnsi" w:hAnsiTheme="majorHAnsi" w:cstheme="majorHAnsi"/>
          <w:color w:val="000000"/>
          <w:sz w:val="22"/>
          <w:szCs w:val="22"/>
        </w:rPr>
        <w:t>are optional 8-10 week internships at a Pfizer facility in either Cambridge, MA, or Groton, CT</w:t>
      </w:r>
      <w:r w:rsidR="00D40890" w:rsidRPr="00AB6B77">
        <w:rPr>
          <w:rFonts w:asciiTheme="majorHAnsi" w:hAnsiTheme="majorHAnsi" w:cstheme="majorHAnsi"/>
          <w:color w:val="000000"/>
          <w:sz w:val="22"/>
          <w:szCs w:val="22"/>
        </w:rPr>
        <w:t>, usually starting around mid-June</w:t>
      </w:r>
      <w:r w:rsidRPr="00AB6B77">
        <w:rPr>
          <w:rFonts w:asciiTheme="majorHAnsi" w:hAnsiTheme="majorHAnsi" w:cstheme="majorHAnsi"/>
          <w:color w:val="000000"/>
          <w:sz w:val="22"/>
          <w:szCs w:val="22"/>
        </w:rPr>
        <w:t>.  They are only available to students who have just passed their first year in the program</w:t>
      </w:r>
      <w:r w:rsidR="00AB6B77" w:rsidRPr="00AB6B77">
        <w:rPr>
          <w:rFonts w:asciiTheme="majorHAnsi" w:hAnsiTheme="majorHAnsi" w:cstheme="majorHAnsi"/>
          <w:color w:val="000000"/>
          <w:sz w:val="22"/>
          <w:szCs w:val="22"/>
        </w:rPr>
        <w:t xml:space="preserve"> and have been accepted into a thesis lab</w:t>
      </w:r>
      <w:r w:rsidRPr="00AB6B77">
        <w:rPr>
          <w:rFonts w:asciiTheme="majorHAnsi" w:hAnsiTheme="majorHAnsi" w:cstheme="majorHAnsi"/>
          <w:color w:val="000000"/>
          <w:sz w:val="22"/>
          <w:szCs w:val="22"/>
        </w:rPr>
        <w:t xml:space="preserve"> (i.e., </w:t>
      </w:r>
      <w:r w:rsidR="009C6239" w:rsidRPr="00AB6B77">
        <w:rPr>
          <w:rFonts w:asciiTheme="majorHAnsi" w:hAnsiTheme="majorHAnsi" w:cstheme="majorHAnsi"/>
          <w:color w:val="000000"/>
          <w:sz w:val="22"/>
          <w:szCs w:val="22"/>
        </w:rPr>
        <w:t>internships</w:t>
      </w:r>
      <w:r w:rsidRPr="00AB6B77">
        <w:rPr>
          <w:rFonts w:asciiTheme="majorHAnsi" w:hAnsiTheme="majorHAnsi" w:cstheme="majorHAnsi"/>
          <w:color w:val="000000"/>
          <w:sz w:val="22"/>
          <w:szCs w:val="22"/>
        </w:rPr>
        <w:t xml:space="preserve"> take place in the summer between the first and second years </w:t>
      </w:r>
      <w:r w:rsidR="009C6239" w:rsidRPr="00AB6B77">
        <w:rPr>
          <w:rFonts w:asciiTheme="majorHAnsi" w:hAnsiTheme="majorHAnsi" w:cstheme="majorHAnsi"/>
          <w:color w:val="000000"/>
          <w:sz w:val="22"/>
          <w:szCs w:val="22"/>
        </w:rPr>
        <w:t>of</w:t>
      </w:r>
      <w:r w:rsidRPr="00AB6B77">
        <w:rPr>
          <w:rFonts w:asciiTheme="majorHAnsi" w:hAnsiTheme="majorHAnsi" w:cstheme="majorHAnsi"/>
          <w:color w:val="000000"/>
          <w:sz w:val="22"/>
          <w:szCs w:val="22"/>
        </w:rPr>
        <w:t xml:space="preserve"> the program).  </w:t>
      </w:r>
      <w:r w:rsidR="009C6239" w:rsidRPr="00AB6B77">
        <w:rPr>
          <w:rFonts w:asciiTheme="majorHAnsi" w:hAnsiTheme="majorHAnsi" w:cstheme="majorHAnsi"/>
          <w:color w:val="000000"/>
          <w:sz w:val="22"/>
          <w:szCs w:val="22"/>
        </w:rPr>
        <w:t xml:space="preserve">The Program Director considers the students' research interests in working with the Pfizer administration to obtain good matches between the students and Pfizer mentors.  The Program Director collects feedback from both the students and their </w:t>
      </w:r>
      <w:r w:rsidR="0090054D" w:rsidRPr="00AB6B77">
        <w:rPr>
          <w:rFonts w:asciiTheme="majorHAnsi" w:hAnsiTheme="majorHAnsi" w:cstheme="majorHAnsi"/>
          <w:color w:val="000000"/>
          <w:sz w:val="22"/>
          <w:szCs w:val="22"/>
        </w:rPr>
        <w:t xml:space="preserve">Pfizer </w:t>
      </w:r>
      <w:r w:rsidR="009C6239" w:rsidRPr="00AB6B77">
        <w:rPr>
          <w:rFonts w:asciiTheme="majorHAnsi" w:hAnsiTheme="majorHAnsi" w:cstheme="majorHAnsi"/>
          <w:color w:val="000000"/>
          <w:sz w:val="22"/>
          <w:szCs w:val="22"/>
        </w:rPr>
        <w:t>advisors about the quality of the internship and the students' performance.  All travel expenses are provided by the Division of Biology &amp; Medicine, including car rentals, public transit fees, etc., as needed.  The students continue to be paid their usual Brown summer stipend as well.</w:t>
      </w:r>
    </w:p>
    <w:p w14:paraId="53D2A610" w14:textId="77777777" w:rsidR="0056085C" w:rsidRPr="00AB6B77" w:rsidRDefault="0056085C" w:rsidP="008E248A">
      <w:pPr>
        <w:jc w:val="both"/>
        <w:rPr>
          <w:rFonts w:asciiTheme="majorHAnsi" w:hAnsiTheme="majorHAnsi" w:cstheme="majorHAnsi"/>
          <w:color w:val="000000"/>
          <w:sz w:val="22"/>
          <w:szCs w:val="22"/>
        </w:rPr>
      </w:pPr>
    </w:p>
    <w:p w14:paraId="3F1181F3" w14:textId="77777777" w:rsidR="0051686B" w:rsidRPr="00AB6B77" w:rsidRDefault="0051686B" w:rsidP="008E248A">
      <w:pPr>
        <w:jc w:val="both"/>
        <w:rPr>
          <w:rFonts w:asciiTheme="majorHAnsi" w:hAnsiTheme="majorHAnsi" w:cstheme="majorHAnsi"/>
          <w:color w:val="000000"/>
          <w:sz w:val="22"/>
          <w:szCs w:val="22"/>
        </w:rPr>
      </w:pPr>
    </w:p>
    <w:p w14:paraId="036A8D8C" w14:textId="6B25F413" w:rsidR="0005194A" w:rsidRPr="00AB6B77" w:rsidRDefault="0005194A" w:rsidP="0005194A">
      <w:pPr>
        <w:jc w:val="both"/>
        <w:rPr>
          <w:rFonts w:asciiTheme="majorHAnsi" w:hAnsiTheme="majorHAnsi" w:cstheme="majorHAnsi"/>
          <w:sz w:val="22"/>
          <w:szCs w:val="22"/>
        </w:rPr>
      </w:pPr>
      <w:r w:rsidRPr="00AB6B77">
        <w:rPr>
          <w:rFonts w:asciiTheme="majorHAnsi" w:hAnsiTheme="majorHAnsi" w:cstheme="majorHAnsi"/>
          <w:b/>
          <w:sz w:val="22"/>
          <w:szCs w:val="22"/>
        </w:rPr>
        <w:t>IV.C.</w:t>
      </w:r>
      <w:r w:rsidR="0021524A" w:rsidRPr="00AB6B77">
        <w:rPr>
          <w:rFonts w:asciiTheme="majorHAnsi" w:hAnsiTheme="majorHAnsi" w:cstheme="majorHAnsi"/>
          <w:b/>
          <w:sz w:val="22"/>
          <w:szCs w:val="22"/>
        </w:rPr>
        <w:t xml:space="preserve"> </w:t>
      </w:r>
      <w:r w:rsidR="00B02465" w:rsidRPr="00B02465">
        <w:rPr>
          <w:rFonts w:asciiTheme="majorHAnsi" w:hAnsiTheme="majorHAnsi" w:cstheme="majorHAnsi"/>
          <w:b/>
          <w:i/>
          <w:iCs/>
          <w:sz w:val="22"/>
          <w:szCs w:val="22"/>
          <w:u w:val="single"/>
        </w:rPr>
        <w:t>Ethics and Research Safety</w:t>
      </w:r>
      <w:r w:rsidRPr="00AB6B77">
        <w:rPr>
          <w:rFonts w:asciiTheme="majorHAnsi" w:hAnsiTheme="majorHAnsi" w:cstheme="majorHAnsi"/>
          <w:b/>
          <w:i/>
          <w:sz w:val="22"/>
          <w:szCs w:val="22"/>
          <w:u w:val="single"/>
        </w:rPr>
        <w:t xml:space="preserve"> </w:t>
      </w:r>
      <w:r w:rsidR="00B02465">
        <w:rPr>
          <w:rFonts w:asciiTheme="majorHAnsi" w:hAnsiTheme="majorHAnsi" w:cstheme="majorHAnsi"/>
          <w:b/>
          <w:i/>
          <w:sz w:val="22"/>
          <w:szCs w:val="22"/>
          <w:u w:val="single"/>
        </w:rPr>
        <w:t>C</w:t>
      </w:r>
      <w:r w:rsidRPr="00AB6B77">
        <w:rPr>
          <w:rFonts w:asciiTheme="majorHAnsi" w:hAnsiTheme="majorHAnsi" w:cstheme="majorHAnsi"/>
          <w:b/>
          <w:i/>
          <w:sz w:val="22"/>
          <w:szCs w:val="22"/>
          <w:u w:val="single"/>
        </w:rPr>
        <w:t>oursework</w:t>
      </w:r>
      <w:r w:rsidRPr="00AB6B77">
        <w:rPr>
          <w:rFonts w:asciiTheme="majorHAnsi" w:hAnsiTheme="majorHAnsi" w:cstheme="majorHAnsi"/>
          <w:b/>
          <w:sz w:val="22"/>
          <w:szCs w:val="22"/>
        </w:rPr>
        <w:t xml:space="preserve">.  </w:t>
      </w:r>
      <w:r w:rsidRPr="00AB6B77">
        <w:rPr>
          <w:rFonts w:asciiTheme="majorHAnsi" w:hAnsiTheme="majorHAnsi" w:cstheme="majorHAnsi"/>
          <w:sz w:val="22"/>
          <w:szCs w:val="22"/>
        </w:rPr>
        <w:t xml:space="preserve">All </w:t>
      </w:r>
      <w:r w:rsidR="00E33E6D">
        <w:rPr>
          <w:rFonts w:asciiTheme="majorHAnsi" w:hAnsiTheme="majorHAnsi" w:cstheme="majorHAnsi"/>
          <w:sz w:val="22"/>
          <w:szCs w:val="22"/>
        </w:rPr>
        <w:t>TSGP</w:t>
      </w:r>
      <w:r w:rsidRPr="00AB6B77">
        <w:rPr>
          <w:rFonts w:asciiTheme="majorHAnsi" w:hAnsiTheme="majorHAnsi" w:cstheme="majorHAnsi"/>
          <w:sz w:val="22"/>
          <w:szCs w:val="22"/>
        </w:rPr>
        <w:t xml:space="preserve"> students, including T32 trainees, must also participate in</w:t>
      </w:r>
      <w:r w:rsidR="00800773" w:rsidRPr="00AB6B77">
        <w:rPr>
          <w:rFonts w:asciiTheme="majorHAnsi" w:hAnsiTheme="majorHAnsi" w:cstheme="majorHAnsi"/>
          <w:sz w:val="22"/>
          <w:szCs w:val="22"/>
        </w:rPr>
        <w:t>, and pass,</w:t>
      </w:r>
      <w:r w:rsidRPr="00AB6B77">
        <w:rPr>
          <w:rFonts w:asciiTheme="majorHAnsi" w:hAnsiTheme="majorHAnsi" w:cstheme="majorHAnsi"/>
          <w:sz w:val="22"/>
          <w:szCs w:val="22"/>
        </w:rPr>
        <w:t xml:space="preserve"> training in the Ethics of Responsible Conduct in Research (RCR), as well as training in Lab Safety, </w:t>
      </w:r>
      <w:r w:rsidR="00AB6B77" w:rsidRPr="00AB6B77">
        <w:rPr>
          <w:rFonts w:asciiTheme="majorHAnsi" w:hAnsiTheme="majorHAnsi" w:cstheme="majorHAnsi"/>
          <w:sz w:val="22"/>
          <w:szCs w:val="22"/>
        </w:rPr>
        <w:t xml:space="preserve">and in </w:t>
      </w:r>
      <w:r w:rsidRPr="00AB6B77">
        <w:rPr>
          <w:rFonts w:asciiTheme="majorHAnsi" w:hAnsiTheme="majorHAnsi" w:cstheme="majorHAnsi"/>
          <w:sz w:val="22"/>
          <w:szCs w:val="22"/>
        </w:rPr>
        <w:t>Radiation Safety, Biohazard Safety, Hazardous Chemical Safety and Animal Care and Use, as applicable.</w:t>
      </w:r>
    </w:p>
    <w:p w14:paraId="29C4E96F" w14:textId="77777777" w:rsidR="0005194A" w:rsidRPr="00E33E6D" w:rsidRDefault="0005194A" w:rsidP="0005194A">
      <w:pPr>
        <w:jc w:val="both"/>
        <w:rPr>
          <w:rFonts w:asciiTheme="majorHAnsi" w:hAnsiTheme="majorHAnsi" w:cstheme="majorHAnsi"/>
          <w:sz w:val="22"/>
          <w:szCs w:val="22"/>
        </w:rPr>
      </w:pPr>
    </w:p>
    <w:p w14:paraId="023C1C4C" w14:textId="0329818B" w:rsidR="0005194A" w:rsidRPr="00E33E6D" w:rsidRDefault="0005194A" w:rsidP="0005194A">
      <w:pPr>
        <w:jc w:val="both"/>
        <w:rPr>
          <w:rFonts w:asciiTheme="majorHAnsi" w:hAnsiTheme="majorHAnsi" w:cstheme="majorHAnsi"/>
          <w:color w:val="000000"/>
          <w:sz w:val="22"/>
          <w:szCs w:val="22"/>
        </w:rPr>
      </w:pPr>
      <w:r w:rsidRPr="00E33E6D">
        <w:rPr>
          <w:rFonts w:asciiTheme="majorHAnsi" w:hAnsiTheme="majorHAnsi" w:cstheme="majorHAnsi"/>
          <w:b/>
          <w:i/>
          <w:color w:val="000000"/>
          <w:sz w:val="22"/>
          <w:szCs w:val="22"/>
        </w:rPr>
        <w:t>Training in Research Ethics</w:t>
      </w:r>
      <w:r w:rsidRPr="00E33E6D">
        <w:rPr>
          <w:rFonts w:asciiTheme="majorHAnsi" w:hAnsiTheme="majorHAnsi" w:cstheme="majorHAnsi"/>
          <w:color w:val="000000"/>
          <w:sz w:val="22"/>
          <w:szCs w:val="22"/>
        </w:rPr>
        <w:t xml:space="preserve"> -- In addition to the </w:t>
      </w:r>
      <w:r w:rsidR="00E6071B" w:rsidRPr="00E33E6D">
        <w:rPr>
          <w:rFonts w:asciiTheme="majorHAnsi" w:hAnsiTheme="majorHAnsi" w:cstheme="majorHAnsi"/>
          <w:color w:val="000000"/>
          <w:sz w:val="22"/>
          <w:szCs w:val="22"/>
        </w:rPr>
        <w:t xml:space="preserve">required </w:t>
      </w:r>
      <w:r w:rsidR="00E33E6D" w:rsidRPr="00E33E6D">
        <w:rPr>
          <w:rFonts w:asciiTheme="majorHAnsi" w:hAnsiTheme="majorHAnsi" w:cstheme="majorHAnsi"/>
          <w:color w:val="000000"/>
          <w:sz w:val="22"/>
          <w:szCs w:val="22"/>
        </w:rPr>
        <w:t>TSGP</w:t>
      </w:r>
      <w:r w:rsidRPr="00E33E6D">
        <w:rPr>
          <w:rFonts w:asciiTheme="majorHAnsi" w:hAnsiTheme="majorHAnsi" w:cstheme="majorHAnsi"/>
          <w:color w:val="000000"/>
          <w:sz w:val="22"/>
          <w:szCs w:val="22"/>
        </w:rPr>
        <w:t xml:space="preserve"> courses, the ethics course offered by the Division of Biology and Medicine, entitled </w:t>
      </w:r>
      <w:r w:rsidRPr="00E33E6D">
        <w:rPr>
          <w:rFonts w:asciiTheme="majorHAnsi" w:hAnsiTheme="majorHAnsi" w:cstheme="majorHAnsi"/>
          <w:color w:val="000000"/>
          <w:sz w:val="22"/>
          <w:szCs w:val="22"/>
          <w:u w:val="single"/>
        </w:rPr>
        <w:t>“Responsible Conduct in Research” (RCR)</w:t>
      </w:r>
      <w:r w:rsidRPr="00E33E6D">
        <w:rPr>
          <w:rFonts w:asciiTheme="majorHAnsi" w:hAnsiTheme="majorHAnsi" w:cstheme="majorHAnsi"/>
          <w:color w:val="000000"/>
          <w:sz w:val="22"/>
          <w:szCs w:val="22"/>
        </w:rPr>
        <w:t>, must be successfully passed in the 1</w:t>
      </w:r>
      <w:r w:rsidRPr="00E33E6D">
        <w:rPr>
          <w:rFonts w:asciiTheme="majorHAnsi" w:hAnsiTheme="majorHAnsi" w:cstheme="majorHAnsi"/>
          <w:color w:val="000000"/>
          <w:sz w:val="22"/>
          <w:szCs w:val="22"/>
          <w:vertAlign w:val="superscript"/>
        </w:rPr>
        <w:t>st</w:t>
      </w:r>
      <w:r w:rsidRPr="00E33E6D">
        <w:rPr>
          <w:rFonts w:asciiTheme="majorHAnsi" w:hAnsiTheme="majorHAnsi" w:cstheme="majorHAnsi"/>
          <w:color w:val="000000"/>
          <w:sz w:val="22"/>
          <w:szCs w:val="22"/>
        </w:rPr>
        <w:t xml:space="preserve"> semester, and its </w:t>
      </w:r>
      <w:r w:rsidRPr="00E33E6D">
        <w:rPr>
          <w:rFonts w:asciiTheme="majorHAnsi" w:hAnsiTheme="majorHAnsi" w:cstheme="majorHAnsi"/>
          <w:color w:val="000000"/>
          <w:sz w:val="22"/>
          <w:szCs w:val="22"/>
          <w:u w:val="single"/>
        </w:rPr>
        <w:t>refresher course</w:t>
      </w:r>
      <w:r w:rsidRPr="00E33E6D">
        <w:rPr>
          <w:rFonts w:asciiTheme="majorHAnsi" w:hAnsiTheme="majorHAnsi" w:cstheme="majorHAnsi"/>
          <w:color w:val="000000"/>
          <w:sz w:val="22"/>
          <w:szCs w:val="22"/>
        </w:rPr>
        <w:t xml:space="preserve"> passed in the 4th year.  </w:t>
      </w:r>
      <w:r w:rsidR="00E33E6D" w:rsidRPr="00E33E6D">
        <w:rPr>
          <w:rFonts w:asciiTheme="majorHAnsi" w:hAnsiTheme="majorHAnsi" w:cstheme="majorHAnsi"/>
          <w:color w:val="000000"/>
          <w:sz w:val="22"/>
          <w:szCs w:val="22"/>
        </w:rPr>
        <w:t>TSGP</w:t>
      </w:r>
      <w:r w:rsidRPr="00E33E6D">
        <w:rPr>
          <w:rFonts w:asciiTheme="majorHAnsi" w:hAnsiTheme="majorHAnsi" w:cstheme="majorHAnsi"/>
          <w:color w:val="000000"/>
          <w:sz w:val="22"/>
          <w:szCs w:val="22"/>
        </w:rPr>
        <w:t xml:space="preserve"> students will receive emails from the Division's Office of Graduate and Postdoctoral Studies regarding scheduling and sign-up procedures for the course.  The IDP is also initiated in the RCR course (see above, "Advising").</w:t>
      </w:r>
      <w:r w:rsidR="00AF1E5F" w:rsidRPr="00E33E6D">
        <w:rPr>
          <w:rFonts w:asciiTheme="majorHAnsi" w:hAnsiTheme="majorHAnsi" w:cstheme="majorHAnsi"/>
          <w:color w:val="000000"/>
          <w:sz w:val="22"/>
          <w:szCs w:val="22"/>
        </w:rPr>
        <w:t xml:space="preserve">  The course now also introduces the</w:t>
      </w:r>
      <w:r w:rsidR="00E33E6D" w:rsidRPr="00E33E6D">
        <w:rPr>
          <w:rFonts w:asciiTheme="majorHAnsi" w:hAnsiTheme="majorHAnsi" w:cstheme="majorHAnsi"/>
          <w:color w:val="000000"/>
          <w:sz w:val="22"/>
          <w:szCs w:val="22"/>
        </w:rPr>
        <w:t xml:space="preserve"> important</w:t>
      </w:r>
      <w:r w:rsidR="00AF1E5F" w:rsidRPr="00E33E6D">
        <w:rPr>
          <w:rFonts w:asciiTheme="majorHAnsi" w:hAnsiTheme="majorHAnsi" w:cstheme="majorHAnsi"/>
          <w:color w:val="000000"/>
          <w:sz w:val="22"/>
          <w:szCs w:val="22"/>
        </w:rPr>
        <w:t xml:space="preserve"> topic of rigor and reproducibility</w:t>
      </w:r>
      <w:r w:rsidR="00E33E6D" w:rsidRPr="00E33E6D">
        <w:rPr>
          <w:rFonts w:asciiTheme="majorHAnsi" w:hAnsiTheme="majorHAnsi" w:cstheme="majorHAnsi"/>
          <w:color w:val="000000"/>
          <w:sz w:val="22"/>
          <w:szCs w:val="22"/>
        </w:rPr>
        <w:t>, which is reinforced in BIOL 2170 and the therapeutics-related elective course, especially in BIOL 2410 and BIOL 2300.</w:t>
      </w:r>
    </w:p>
    <w:p w14:paraId="57164256" w14:textId="77777777" w:rsidR="0005194A" w:rsidRPr="00E33E6D" w:rsidRDefault="0005194A" w:rsidP="0005194A">
      <w:pPr>
        <w:jc w:val="both"/>
        <w:rPr>
          <w:rFonts w:asciiTheme="majorHAnsi" w:hAnsiTheme="majorHAnsi" w:cstheme="majorHAnsi"/>
          <w:color w:val="000000"/>
          <w:sz w:val="22"/>
          <w:szCs w:val="22"/>
        </w:rPr>
      </w:pPr>
    </w:p>
    <w:p w14:paraId="6647699D" w14:textId="77777777" w:rsidR="00876D89" w:rsidRPr="00E33E6D" w:rsidRDefault="00876D89" w:rsidP="0005194A">
      <w:pPr>
        <w:jc w:val="both"/>
        <w:rPr>
          <w:rFonts w:asciiTheme="majorHAnsi" w:hAnsiTheme="majorHAnsi" w:cstheme="majorHAnsi"/>
          <w:color w:val="000000"/>
          <w:sz w:val="22"/>
          <w:szCs w:val="22"/>
        </w:rPr>
      </w:pPr>
    </w:p>
    <w:p w14:paraId="37410726" w14:textId="7FAA17BB" w:rsidR="0005194A" w:rsidRPr="008808B5" w:rsidRDefault="0005194A" w:rsidP="0005194A">
      <w:pPr>
        <w:jc w:val="both"/>
        <w:rPr>
          <w:rFonts w:asciiTheme="majorHAnsi" w:hAnsiTheme="majorHAnsi" w:cstheme="majorHAnsi"/>
          <w:b/>
          <w:color w:val="000000"/>
          <w:sz w:val="22"/>
          <w:szCs w:val="22"/>
        </w:rPr>
      </w:pPr>
      <w:r w:rsidRPr="008808B5">
        <w:rPr>
          <w:rFonts w:asciiTheme="majorHAnsi" w:hAnsiTheme="majorHAnsi" w:cstheme="majorHAnsi"/>
          <w:b/>
          <w:color w:val="000000"/>
          <w:sz w:val="22"/>
          <w:szCs w:val="22"/>
        </w:rPr>
        <w:t>IV.D.</w:t>
      </w:r>
      <w:r w:rsidRPr="008808B5">
        <w:rPr>
          <w:rFonts w:asciiTheme="majorHAnsi" w:hAnsiTheme="majorHAnsi" w:cstheme="majorHAnsi"/>
          <w:b/>
          <w:color w:val="000000"/>
          <w:sz w:val="22"/>
          <w:szCs w:val="22"/>
        </w:rPr>
        <w:tab/>
      </w:r>
      <w:r w:rsidRPr="008808B5">
        <w:rPr>
          <w:rFonts w:asciiTheme="majorHAnsi" w:hAnsiTheme="majorHAnsi" w:cstheme="majorHAnsi"/>
          <w:b/>
          <w:i/>
          <w:color w:val="000000"/>
          <w:sz w:val="22"/>
          <w:szCs w:val="22"/>
          <w:u w:val="single"/>
        </w:rPr>
        <w:t>Fellowship Applications.</w:t>
      </w:r>
      <w:r w:rsidRPr="008808B5">
        <w:rPr>
          <w:rFonts w:asciiTheme="majorHAnsi" w:hAnsiTheme="majorHAnsi" w:cstheme="majorHAnsi"/>
          <w:b/>
          <w:color w:val="000000"/>
          <w:sz w:val="22"/>
          <w:szCs w:val="22"/>
        </w:rPr>
        <w:t xml:space="preserve">  </w:t>
      </w:r>
      <w:r w:rsidR="00A6252E" w:rsidRPr="008808B5">
        <w:rPr>
          <w:rFonts w:asciiTheme="majorHAnsi" w:hAnsiTheme="majorHAnsi" w:cstheme="majorHAnsi"/>
          <w:color w:val="000000"/>
          <w:sz w:val="22"/>
          <w:szCs w:val="22"/>
        </w:rPr>
        <w:t>Each</w:t>
      </w:r>
      <w:r w:rsidR="003172B4" w:rsidRPr="008808B5">
        <w:rPr>
          <w:rFonts w:asciiTheme="majorHAnsi" w:hAnsiTheme="majorHAnsi" w:cstheme="majorHAnsi"/>
          <w:color w:val="000000"/>
          <w:sz w:val="22"/>
          <w:szCs w:val="22"/>
        </w:rPr>
        <w:t xml:space="preserve"> student</w:t>
      </w:r>
      <w:r w:rsidR="00A6252E" w:rsidRPr="008808B5">
        <w:rPr>
          <w:rFonts w:asciiTheme="majorHAnsi" w:hAnsiTheme="majorHAnsi" w:cstheme="majorHAnsi"/>
          <w:color w:val="000000"/>
          <w:sz w:val="22"/>
          <w:szCs w:val="22"/>
        </w:rPr>
        <w:t xml:space="preserve"> i</w:t>
      </w:r>
      <w:r w:rsidR="003172B4" w:rsidRPr="008808B5">
        <w:rPr>
          <w:rFonts w:asciiTheme="majorHAnsi" w:hAnsiTheme="majorHAnsi" w:cstheme="majorHAnsi"/>
          <w:color w:val="000000"/>
          <w:sz w:val="22"/>
          <w:szCs w:val="22"/>
        </w:rPr>
        <w:t xml:space="preserve">s required to submit </w:t>
      </w:r>
      <w:r w:rsidR="00A6252E" w:rsidRPr="008808B5">
        <w:rPr>
          <w:rFonts w:asciiTheme="majorHAnsi" w:hAnsiTheme="majorHAnsi" w:cstheme="majorHAnsi"/>
          <w:sz w:val="22"/>
          <w:szCs w:val="22"/>
        </w:rPr>
        <w:t>a</w:t>
      </w:r>
      <w:r w:rsidRPr="008808B5">
        <w:rPr>
          <w:rFonts w:asciiTheme="majorHAnsi" w:hAnsiTheme="majorHAnsi" w:cstheme="majorHAnsi"/>
          <w:sz w:val="22"/>
          <w:szCs w:val="22"/>
        </w:rPr>
        <w:t xml:space="preserve"> </w:t>
      </w:r>
      <w:r w:rsidR="003172B4" w:rsidRPr="008808B5">
        <w:rPr>
          <w:rFonts w:asciiTheme="majorHAnsi" w:hAnsiTheme="majorHAnsi" w:cstheme="majorHAnsi"/>
          <w:sz w:val="22"/>
          <w:szCs w:val="22"/>
        </w:rPr>
        <w:t xml:space="preserve">predoctoral </w:t>
      </w:r>
      <w:r w:rsidRPr="008808B5">
        <w:rPr>
          <w:rFonts w:asciiTheme="majorHAnsi" w:hAnsiTheme="majorHAnsi" w:cstheme="majorHAnsi"/>
          <w:sz w:val="22"/>
          <w:szCs w:val="22"/>
        </w:rPr>
        <w:t>fellowship applicatio</w:t>
      </w:r>
      <w:r w:rsidR="00A6252E" w:rsidRPr="008808B5">
        <w:rPr>
          <w:rFonts w:asciiTheme="majorHAnsi" w:hAnsiTheme="majorHAnsi" w:cstheme="majorHAnsi"/>
          <w:sz w:val="22"/>
          <w:szCs w:val="22"/>
        </w:rPr>
        <w:t>n, usually during their second year.  The</w:t>
      </w:r>
      <w:r w:rsidR="0064250F" w:rsidRPr="008808B5">
        <w:rPr>
          <w:rFonts w:asciiTheme="majorHAnsi" w:hAnsiTheme="majorHAnsi" w:cstheme="majorHAnsi"/>
          <w:sz w:val="22"/>
          <w:szCs w:val="22"/>
        </w:rPr>
        <w:t xml:space="preserve"> </w:t>
      </w:r>
      <w:r w:rsidRPr="008808B5">
        <w:rPr>
          <w:rFonts w:asciiTheme="majorHAnsi" w:hAnsiTheme="majorHAnsi" w:cstheme="majorHAnsi"/>
          <w:sz w:val="22"/>
          <w:szCs w:val="22"/>
        </w:rPr>
        <w:t>student work</w:t>
      </w:r>
      <w:r w:rsidR="0064250F" w:rsidRPr="008808B5">
        <w:rPr>
          <w:rFonts w:asciiTheme="majorHAnsi" w:hAnsiTheme="majorHAnsi" w:cstheme="majorHAnsi"/>
          <w:sz w:val="22"/>
          <w:szCs w:val="22"/>
        </w:rPr>
        <w:t>s</w:t>
      </w:r>
      <w:r w:rsidRPr="008808B5">
        <w:rPr>
          <w:rFonts w:asciiTheme="majorHAnsi" w:hAnsiTheme="majorHAnsi" w:cstheme="majorHAnsi"/>
          <w:sz w:val="22"/>
          <w:szCs w:val="22"/>
        </w:rPr>
        <w:t xml:space="preserve"> with </w:t>
      </w:r>
      <w:r w:rsidR="00A6252E" w:rsidRPr="008808B5">
        <w:rPr>
          <w:rFonts w:asciiTheme="majorHAnsi" w:hAnsiTheme="majorHAnsi" w:cstheme="majorHAnsi"/>
          <w:sz w:val="22"/>
          <w:szCs w:val="22"/>
        </w:rPr>
        <w:t>their</w:t>
      </w:r>
      <w:r w:rsidR="0064250F" w:rsidRPr="008808B5">
        <w:rPr>
          <w:rFonts w:asciiTheme="majorHAnsi" w:hAnsiTheme="majorHAnsi" w:cstheme="majorHAnsi"/>
          <w:sz w:val="22"/>
          <w:szCs w:val="22"/>
        </w:rPr>
        <w:t xml:space="preserve"> </w:t>
      </w:r>
      <w:r w:rsidR="003B586E" w:rsidRPr="008808B5">
        <w:rPr>
          <w:rFonts w:asciiTheme="majorHAnsi" w:hAnsiTheme="majorHAnsi" w:cstheme="majorHAnsi"/>
          <w:sz w:val="22"/>
          <w:szCs w:val="22"/>
        </w:rPr>
        <w:t>T</w:t>
      </w:r>
      <w:r w:rsidR="003172B4" w:rsidRPr="008808B5">
        <w:rPr>
          <w:rFonts w:asciiTheme="majorHAnsi" w:hAnsiTheme="majorHAnsi" w:cstheme="majorHAnsi"/>
          <w:sz w:val="22"/>
          <w:szCs w:val="22"/>
        </w:rPr>
        <w:t xml:space="preserve">hesis </w:t>
      </w:r>
      <w:r w:rsidR="003B586E" w:rsidRPr="008808B5">
        <w:rPr>
          <w:rFonts w:asciiTheme="majorHAnsi" w:hAnsiTheme="majorHAnsi" w:cstheme="majorHAnsi"/>
          <w:sz w:val="22"/>
          <w:szCs w:val="22"/>
        </w:rPr>
        <w:t>A</w:t>
      </w:r>
      <w:r w:rsidRPr="008808B5">
        <w:rPr>
          <w:rFonts w:asciiTheme="majorHAnsi" w:hAnsiTheme="majorHAnsi" w:cstheme="majorHAnsi"/>
          <w:sz w:val="22"/>
          <w:szCs w:val="22"/>
        </w:rPr>
        <w:t xml:space="preserve">dvisor to construct a project for the fellowship application.  </w:t>
      </w:r>
      <w:r w:rsidR="00A6252E" w:rsidRPr="008808B5">
        <w:rPr>
          <w:rFonts w:asciiTheme="majorHAnsi" w:hAnsiTheme="majorHAnsi" w:cstheme="majorHAnsi"/>
          <w:sz w:val="22"/>
          <w:szCs w:val="22"/>
        </w:rPr>
        <w:t>Often the thesis proposal</w:t>
      </w:r>
      <w:r w:rsidR="003B586E" w:rsidRPr="008808B5">
        <w:rPr>
          <w:rFonts w:asciiTheme="majorHAnsi" w:hAnsiTheme="majorHAnsi" w:cstheme="majorHAnsi"/>
          <w:sz w:val="22"/>
          <w:szCs w:val="22"/>
        </w:rPr>
        <w:t>, also written during the second year,</w:t>
      </w:r>
      <w:r w:rsidR="00A6252E" w:rsidRPr="008808B5">
        <w:rPr>
          <w:rFonts w:asciiTheme="majorHAnsi" w:hAnsiTheme="majorHAnsi" w:cstheme="majorHAnsi"/>
          <w:sz w:val="22"/>
          <w:szCs w:val="22"/>
        </w:rPr>
        <w:t xml:space="preserve"> can be adapted fairly easily to be suitable for such applications.  Students who are not eligible for US government-sponsored fellowships, such as NIH, NSF (e.g., international students) may request a meeting with staff in the Office of Graduate and Postdoctoral Studies (OGPS) for help in finding fellowships for which they are eligible. </w:t>
      </w:r>
      <w:r w:rsidR="00F236ED" w:rsidRPr="008808B5">
        <w:rPr>
          <w:rFonts w:asciiTheme="majorHAnsi" w:hAnsiTheme="majorHAnsi" w:cstheme="majorHAnsi"/>
          <w:sz w:val="22"/>
          <w:szCs w:val="22"/>
        </w:rPr>
        <w:t xml:space="preserve"> </w:t>
      </w:r>
      <w:r w:rsidR="00A6252E" w:rsidRPr="008808B5">
        <w:rPr>
          <w:rFonts w:asciiTheme="majorHAnsi" w:hAnsiTheme="majorHAnsi" w:cstheme="majorHAnsi"/>
          <w:sz w:val="22"/>
          <w:szCs w:val="22"/>
        </w:rPr>
        <w:t xml:space="preserve">OGPS also offers </w:t>
      </w:r>
      <w:r w:rsidR="00F236ED" w:rsidRPr="008808B5">
        <w:rPr>
          <w:rFonts w:asciiTheme="majorHAnsi" w:hAnsiTheme="majorHAnsi" w:cstheme="majorHAnsi"/>
          <w:sz w:val="22"/>
          <w:szCs w:val="22"/>
        </w:rPr>
        <w:t xml:space="preserve">very useful </w:t>
      </w:r>
      <w:r w:rsidR="00A6252E" w:rsidRPr="008808B5">
        <w:rPr>
          <w:rFonts w:asciiTheme="majorHAnsi" w:hAnsiTheme="majorHAnsi" w:cstheme="majorHAnsi"/>
          <w:sz w:val="22"/>
          <w:szCs w:val="22"/>
        </w:rPr>
        <w:t>workshops on fellowship writing</w:t>
      </w:r>
      <w:r w:rsidR="00F236ED" w:rsidRPr="008808B5">
        <w:rPr>
          <w:rFonts w:asciiTheme="majorHAnsi" w:hAnsiTheme="majorHAnsi" w:cstheme="majorHAnsi"/>
          <w:sz w:val="22"/>
          <w:szCs w:val="22"/>
        </w:rPr>
        <w:t>, and during some monthly TSGP meetings, advice is also provided by faculty who have served on fellowship review committees and by current and past students who have been successful at obtaining fellowships</w:t>
      </w:r>
      <w:r w:rsidR="00A6252E" w:rsidRPr="008808B5">
        <w:rPr>
          <w:rFonts w:asciiTheme="majorHAnsi" w:hAnsiTheme="majorHAnsi" w:cstheme="majorHAnsi"/>
          <w:sz w:val="22"/>
          <w:szCs w:val="22"/>
        </w:rPr>
        <w:t xml:space="preserve">.  </w:t>
      </w:r>
      <w:r w:rsidR="00147C39">
        <w:rPr>
          <w:rFonts w:asciiTheme="majorHAnsi" w:hAnsiTheme="majorHAnsi" w:cstheme="majorHAnsi"/>
          <w:sz w:val="22"/>
          <w:szCs w:val="22"/>
        </w:rPr>
        <w:t xml:space="preserve">In addition, students can take an IMSD module on scientific writing that includes advice on writing fellowships, as well as abstracts and papers.  This module consists of three 2-hour sessions within one week, with the dates to be determined each year.  </w:t>
      </w:r>
      <w:r w:rsidRPr="008808B5">
        <w:rPr>
          <w:rFonts w:asciiTheme="majorHAnsi" w:hAnsiTheme="majorHAnsi" w:cstheme="majorHAnsi"/>
          <w:sz w:val="22"/>
          <w:szCs w:val="22"/>
        </w:rPr>
        <w:t xml:space="preserve">Our students have had excellent success with NSF fellowships and </w:t>
      </w:r>
      <w:r w:rsidR="009C2D93" w:rsidRPr="008808B5">
        <w:rPr>
          <w:rFonts w:asciiTheme="majorHAnsi" w:hAnsiTheme="majorHAnsi" w:cstheme="majorHAnsi"/>
          <w:sz w:val="22"/>
          <w:szCs w:val="22"/>
        </w:rPr>
        <w:t xml:space="preserve">with </w:t>
      </w:r>
      <w:r w:rsidRPr="008808B5">
        <w:rPr>
          <w:rFonts w:asciiTheme="majorHAnsi" w:hAnsiTheme="majorHAnsi" w:cstheme="majorHAnsi"/>
          <w:sz w:val="22"/>
          <w:szCs w:val="22"/>
        </w:rPr>
        <w:t>others (Ford, NIH/NRSA, AHA, APS, Hughes/Gilliam</w:t>
      </w:r>
      <w:r w:rsidR="00AF1E5F" w:rsidRPr="008808B5">
        <w:rPr>
          <w:rFonts w:asciiTheme="majorHAnsi" w:hAnsiTheme="majorHAnsi" w:cstheme="majorHAnsi"/>
          <w:sz w:val="22"/>
          <w:szCs w:val="22"/>
        </w:rPr>
        <w:t>, NIH F99/K00</w:t>
      </w:r>
      <w:r w:rsidRPr="008808B5">
        <w:rPr>
          <w:rFonts w:asciiTheme="majorHAnsi" w:hAnsiTheme="majorHAnsi" w:cstheme="majorHAnsi"/>
          <w:sz w:val="22"/>
          <w:szCs w:val="22"/>
        </w:rPr>
        <w:t xml:space="preserve">).  </w:t>
      </w:r>
      <w:r w:rsidRPr="008808B5">
        <w:rPr>
          <w:rFonts w:asciiTheme="majorHAnsi" w:hAnsiTheme="majorHAnsi" w:cstheme="majorHAnsi"/>
          <w:color w:val="000000"/>
          <w:sz w:val="22"/>
          <w:szCs w:val="22"/>
        </w:rPr>
        <w:t>Students who are successful in obtaining their own individual fellowships</w:t>
      </w:r>
      <w:r w:rsidR="00F236ED" w:rsidRPr="008808B5">
        <w:rPr>
          <w:rFonts w:asciiTheme="majorHAnsi" w:hAnsiTheme="majorHAnsi" w:cstheme="majorHAnsi"/>
          <w:color w:val="000000"/>
          <w:sz w:val="22"/>
          <w:szCs w:val="22"/>
        </w:rPr>
        <w:t xml:space="preserve"> not only have the advantage of listing them as honors/awards on their CVs, but also</w:t>
      </w:r>
      <w:r w:rsidRPr="008808B5">
        <w:rPr>
          <w:rFonts w:asciiTheme="majorHAnsi" w:hAnsiTheme="majorHAnsi" w:cstheme="majorHAnsi"/>
          <w:color w:val="000000"/>
          <w:sz w:val="22"/>
          <w:szCs w:val="22"/>
        </w:rPr>
        <w:t xml:space="preserve"> are generally eligible for additional </w:t>
      </w:r>
      <w:r w:rsidR="00781FAE" w:rsidRPr="008808B5">
        <w:rPr>
          <w:rFonts w:asciiTheme="majorHAnsi" w:hAnsiTheme="majorHAnsi" w:cstheme="majorHAnsi"/>
          <w:color w:val="000000"/>
          <w:sz w:val="22"/>
          <w:szCs w:val="22"/>
        </w:rPr>
        <w:t xml:space="preserve">financial </w:t>
      </w:r>
      <w:r w:rsidRPr="008808B5">
        <w:rPr>
          <w:rFonts w:asciiTheme="majorHAnsi" w:hAnsiTheme="majorHAnsi" w:cstheme="majorHAnsi"/>
          <w:color w:val="000000"/>
          <w:sz w:val="22"/>
          <w:szCs w:val="22"/>
        </w:rPr>
        <w:t xml:space="preserve">compensation during their fellowship years </w:t>
      </w:r>
      <w:r w:rsidR="005C3780" w:rsidRPr="008808B5">
        <w:rPr>
          <w:rFonts w:asciiTheme="majorHAnsi" w:hAnsiTheme="majorHAnsi" w:cstheme="majorHAnsi"/>
          <w:color w:val="000000"/>
          <w:sz w:val="22"/>
          <w:szCs w:val="22"/>
        </w:rPr>
        <w:t>(see section below on Financial Support)</w:t>
      </w:r>
      <w:r w:rsidRPr="008808B5">
        <w:rPr>
          <w:rFonts w:asciiTheme="majorHAnsi" w:hAnsiTheme="majorHAnsi" w:cstheme="majorHAnsi"/>
          <w:color w:val="000000"/>
          <w:sz w:val="22"/>
          <w:szCs w:val="22"/>
        </w:rPr>
        <w:t>.</w:t>
      </w:r>
      <w:r w:rsidR="00145A52" w:rsidRPr="008808B5">
        <w:rPr>
          <w:rFonts w:asciiTheme="majorHAnsi" w:hAnsiTheme="majorHAnsi" w:cstheme="majorHAnsi"/>
          <w:color w:val="000000"/>
          <w:sz w:val="22"/>
          <w:szCs w:val="22"/>
        </w:rPr>
        <w:t xml:space="preserve"> </w:t>
      </w:r>
      <w:r w:rsidR="00F236ED" w:rsidRPr="008808B5">
        <w:rPr>
          <w:rFonts w:asciiTheme="majorHAnsi" w:hAnsiTheme="majorHAnsi" w:cstheme="majorHAnsi"/>
          <w:color w:val="000000"/>
          <w:sz w:val="22"/>
          <w:szCs w:val="22"/>
        </w:rPr>
        <w:t xml:space="preserve"> </w:t>
      </w:r>
    </w:p>
    <w:p w14:paraId="02A96F8F" w14:textId="217A890F" w:rsidR="0005194A" w:rsidRPr="00AB35A8" w:rsidRDefault="0005194A" w:rsidP="000B650A">
      <w:pPr>
        <w:jc w:val="both"/>
        <w:rPr>
          <w:rFonts w:asciiTheme="majorHAnsi" w:hAnsiTheme="majorHAnsi" w:cstheme="majorHAnsi"/>
          <w:sz w:val="22"/>
          <w:szCs w:val="22"/>
        </w:rPr>
      </w:pPr>
    </w:p>
    <w:p w14:paraId="6F1FF691" w14:textId="77777777" w:rsidR="0051686B" w:rsidRPr="00AB35A8" w:rsidRDefault="0051686B" w:rsidP="000B650A">
      <w:pPr>
        <w:jc w:val="both"/>
        <w:rPr>
          <w:rFonts w:asciiTheme="majorHAnsi" w:hAnsiTheme="majorHAnsi" w:cstheme="majorHAnsi"/>
          <w:sz w:val="22"/>
          <w:szCs w:val="22"/>
        </w:rPr>
      </w:pPr>
    </w:p>
    <w:p w14:paraId="65D5E328" w14:textId="456006E8" w:rsidR="000B650A" w:rsidRPr="00AB35A8" w:rsidRDefault="000B12CA" w:rsidP="000B650A">
      <w:pPr>
        <w:jc w:val="both"/>
        <w:rPr>
          <w:rFonts w:asciiTheme="majorHAnsi" w:hAnsiTheme="majorHAnsi" w:cstheme="majorHAnsi"/>
          <w:b/>
          <w:i/>
          <w:color w:val="000000"/>
          <w:sz w:val="22"/>
          <w:szCs w:val="22"/>
          <w:u w:val="single"/>
        </w:rPr>
      </w:pPr>
      <w:r w:rsidRPr="00AB35A8">
        <w:rPr>
          <w:rFonts w:asciiTheme="majorHAnsi" w:hAnsiTheme="majorHAnsi" w:cstheme="majorHAnsi"/>
          <w:b/>
          <w:color w:val="000000"/>
          <w:sz w:val="22"/>
          <w:szCs w:val="22"/>
        </w:rPr>
        <w:t>IV.E.</w:t>
      </w:r>
      <w:r w:rsidR="006C3CC7" w:rsidRPr="00AB35A8">
        <w:rPr>
          <w:rFonts w:asciiTheme="majorHAnsi" w:hAnsiTheme="majorHAnsi" w:cstheme="majorHAnsi"/>
          <w:b/>
          <w:color w:val="000000"/>
          <w:sz w:val="22"/>
          <w:szCs w:val="22"/>
        </w:rPr>
        <w:t xml:space="preserve">  </w:t>
      </w:r>
      <w:r w:rsidRPr="00AB35A8">
        <w:rPr>
          <w:rFonts w:asciiTheme="majorHAnsi" w:hAnsiTheme="majorHAnsi" w:cstheme="majorHAnsi"/>
          <w:b/>
          <w:i/>
          <w:color w:val="000000"/>
          <w:sz w:val="22"/>
          <w:szCs w:val="22"/>
          <w:u w:val="single"/>
        </w:rPr>
        <w:t>Academic</w:t>
      </w:r>
      <w:r w:rsidR="000B650A" w:rsidRPr="00AB35A8">
        <w:rPr>
          <w:rFonts w:asciiTheme="majorHAnsi" w:hAnsiTheme="majorHAnsi" w:cstheme="majorHAnsi"/>
          <w:b/>
          <w:i/>
          <w:color w:val="000000"/>
          <w:sz w:val="22"/>
          <w:szCs w:val="22"/>
          <w:u w:val="single"/>
        </w:rPr>
        <w:t xml:space="preserve"> </w:t>
      </w:r>
      <w:r w:rsidRPr="00AB35A8">
        <w:rPr>
          <w:rFonts w:asciiTheme="majorHAnsi" w:hAnsiTheme="majorHAnsi" w:cstheme="majorHAnsi"/>
          <w:b/>
          <w:i/>
          <w:color w:val="000000"/>
          <w:sz w:val="22"/>
          <w:szCs w:val="22"/>
          <w:u w:val="single"/>
        </w:rPr>
        <w:t xml:space="preserve">Plan </w:t>
      </w:r>
      <w:r w:rsidR="000B650A" w:rsidRPr="00AB35A8">
        <w:rPr>
          <w:rFonts w:asciiTheme="majorHAnsi" w:hAnsiTheme="majorHAnsi" w:cstheme="majorHAnsi"/>
          <w:b/>
          <w:i/>
          <w:color w:val="000000"/>
          <w:sz w:val="22"/>
          <w:szCs w:val="22"/>
          <w:u w:val="single"/>
        </w:rPr>
        <w:t xml:space="preserve">for the </w:t>
      </w:r>
      <w:r w:rsidRPr="00AB35A8">
        <w:rPr>
          <w:rFonts w:asciiTheme="majorHAnsi" w:hAnsiTheme="majorHAnsi" w:cstheme="majorHAnsi"/>
          <w:b/>
          <w:i/>
          <w:color w:val="000000"/>
          <w:sz w:val="22"/>
          <w:szCs w:val="22"/>
          <w:u w:val="single"/>
        </w:rPr>
        <w:t>First Two Years</w:t>
      </w:r>
      <w:r w:rsidR="002A7D90">
        <w:rPr>
          <w:rFonts w:asciiTheme="majorHAnsi" w:hAnsiTheme="majorHAnsi" w:cstheme="majorHAnsi"/>
          <w:b/>
          <w:i/>
          <w:color w:val="000000"/>
          <w:sz w:val="22"/>
          <w:szCs w:val="22"/>
          <w:u w:val="single"/>
        </w:rPr>
        <w:t xml:space="preserve"> and Beyond</w:t>
      </w:r>
    </w:p>
    <w:p w14:paraId="38B1B1D3" w14:textId="3F6D688C" w:rsidR="008621BA" w:rsidRDefault="008621BA" w:rsidP="000B650A">
      <w:pPr>
        <w:jc w:val="both"/>
        <w:rPr>
          <w:rFonts w:asciiTheme="majorHAnsi" w:hAnsiTheme="majorHAnsi" w:cstheme="majorHAnsi"/>
          <w:color w:val="000000"/>
          <w:sz w:val="22"/>
          <w:szCs w:val="22"/>
        </w:rPr>
      </w:pPr>
    </w:p>
    <w:p w14:paraId="6350AB4F" w14:textId="13BC39D7" w:rsidR="008621BA" w:rsidRDefault="008621BA" w:rsidP="000B650A">
      <w:pPr>
        <w:jc w:val="both"/>
        <w:rPr>
          <w:rFonts w:asciiTheme="majorHAnsi" w:hAnsiTheme="majorHAnsi" w:cstheme="majorHAnsi"/>
          <w:color w:val="000000"/>
          <w:sz w:val="22"/>
          <w:szCs w:val="22"/>
        </w:rPr>
      </w:pPr>
      <w:r>
        <w:rPr>
          <w:rFonts w:asciiTheme="majorHAnsi" w:hAnsiTheme="majorHAnsi" w:cstheme="majorHAnsi"/>
          <w:color w:val="000000"/>
          <w:sz w:val="22"/>
          <w:szCs w:val="22"/>
        </w:rPr>
        <w:t>This is an outline; more detailed information and advice on the various components appears below this section.</w:t>
      </w:r>
      <w:r w:rsidR="0090594D">
        <w:rPr>
          <w:rFonts w:asciiTheme="majorHAnsi" w:hAnsiTheme="majorHAnsi" w:cstheme="majorHAnsi"/>
          <w:color w:val="000000"/>
          <w:sz w:val="22"/>
          <w:szCs w:val="22"/>
        </w:rPr>
        <w:t xml:space="preserve">  </w:t>
      </w:r>
    </w:p>
    <w:p w14:paraId="3BFF6519" w14:textId="77777777" w:rsidR="008621BA" w:rsidRPr="00AB35A8" w:rsidRDefault="008621BA" w:rsidP="000B650A">
      <w:pPr>
        <w:jc w:val="both"/>
        <w:rPr>
          <w:rFonts w:asciiTheme="majorHAnsi" w:hAnsiTheme="majorHAnsi" w:cstheme="majorHAnsi"/>
          <w:color w:val="000000"/>
          <w:sz w:val="22"/>
          <w:szCs w:val="22"/>
        </w:rPr>
      </w:pPr>
    </w:p>
    <w:p w14:paraId="5D6A9EC2" w14:textId="77777777" w:rsidR="009F60BD" w:rsidRPr="00AB35A8" w:rsidRDefault="000B650A" w:rsidP="00270F74">
      <w:pPr>
        <w:rPr>
          <w:rFonts w:asciiTheme="majorHAnsi" w:hAnsiTheme="majorHAnsi" w:cstheme="majorHAnsi"/>
          <w:color w:val="000000"/>
          <w:sz w:val="22"/>
          <w:szCs w:val="22"/>
        </w:rPr>
      </w:pPr>
      <w:r w:rsidRPr="00AB35A8">
        <w:rPr>
          <w:rFonts w:asciiTheme="majorHAnsi" w:hAnsiTheme="majorHAnsi" w:cstheme="majorHAnsi"/>
          <w:b/>
          <w:color w:val="000000"/>
          <w:sz w:val="22"/>
          <w:szCs w:val="22"/>
        </w:rPr>
        <w:t>Semester I:</w:t>
      </w:r>
    </w:p>
    <w:p w14:paraId="7CFC9EBA" w14:textId="6406E330" w:rsidR="00E97408" w:rsidRPr="00AB35A8" w:rsidRDefault="008808B5"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BIOL 2250 -- Survey of Modern Therapeutics</w:t>
      </w:r>
      <w:r w:rsidR="00E24C21" w:rsidRPr="00AB35A8">
        <w:rPr>
          <w:rFonts w:asciiTheme="majorHAnsi" w:hAnsiTheme="majorHAnsi" w:cstheme="majorHAnsi"/>
          <w:color w:val="000000"/>
          <w:sz w:val="22"/>
          <w:szCs w:val="22"/>
        </w:rPr>
        <w:t xml:space="preserve"> (1 credit)</w:t>
      </w:r>
    </w:p>
    <w:p w14:paraId="1E1E6C48" w14:textId="2959A0D5" w:rsidR="00E97408" w:rsidRPr="00AB35A8" w:rsidRDefault="00404163"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w:t>
      </w:r>
      <w:r w:rsidR="00E97408" w:rsidRPr="00AB35A8">
        <w:rPr>
          <w:rFonts w:asciiTheme="majorHAnsi" w:hAnsiTheme="majorHAnsi" w:cstheme="majorHAnsi"/>
          <w:color w:val="000000"/>
          <w:sz w:val="22"/>
          <w:szCs w:val="22"/>
        </w:rPr>
        <w:t>herapeutics-related elective or other elective course</w:t>
      </w:r>
      <w:r w:rsidRPr="00AB35A8">
        <w:rPr>
          <w:rFonts w:asciiTheme="majorHAnsi" w:hAnsiTheme="majorHAnsi" w:cstheme="majorHAnsi"/>
          <w:color w:val="000000"/>
          <w:sz w:val="22"/>
          <w:szCs w:val="22"/>
        </w:rPr>
        <w:t>(s), as desired</w:t>
      </w:r>
      <w:r w:rsidR="00E97408" w:rsidRPr="00AB35A8">
        <w:rPr>
          <w:rFonts w:asciiTheme="majorHAnsi" w:hAnsiTheme="majorHAnsi" w:cstheme="majorHAnsi"/>
          <w:color w:val="000000"/>
          <w:sz w:val="22"/>
          <w:szCs w:val="22"/>
        </w:rPr>
        <w:t xml:space="preserve"> </w:t>
      </w:r>
      <w:r w:rsidR="009F60BD" w:rsidRPr="00AB35A8">
        <w:rPr>
          <w:rFonts w:asciiTheme="majorHAnsi" w:hAnsiTheme="majorHAnsi" w:cstheme="majorHAnsi"/>
          <w:color w:val="000000"/>
          <w:sz w:val="22"/>
          <w:szCs w:val="22"/>
        </w:rPr>
        <w:t>(1 credit per course)</w:t>
      </w:r>
    </w:p>
    <w:p w14:paraId="171A271A" w14:textId="715AB0EA" w:rsidR="00E97408" w:rsidRPr="00AB35A8" w:rsidRDefault="009F60BD"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 xml:space="preserve">2 or </w:t>
      </w:r>
      <w:r w:rsidR="00720424" w:rsidRPr="00AB35A8">
        <w:rPr>
          <w:rFonts w:asciiTheme="majorHAnsi" w:hAnsiTheme="majorHAnsi" w:cstheme="majorHAnsi"/>
          <w:color w:val="000000"/>
          <w:sz w:val="22"/>
          <w:szCs w:val="22"/>
        </w:rPr>
        <w:t>4</w:t>
      </w:r>
      <w:r w:rsidR="000B650A" w:rsidRPr="00AB35A8">
        <w:rPr>
          <w:rFonts w:asciiTheme="majorHAnsi" w:hAnsiTheme="majorHAnsi" w:cstheme="majorHAnsi"/>
          <w:color w:val="000000"/>
          <w:sz w:val="22"/>
          <w:szCs w:val="22"/>
        </w:rPr>
        <w:t xml:space="preserve"> credits of BIOL 2980</w:t>
      </w:r>
      <w:r w:rsidRPr="00AB35A8">
        <w:rPr>
          <w:rFonts w:asciiTheme="majorHAnsi" w:hAnsiTheme="majorHAnsi" w:cstheme="majorHAnsi"/>
          <w:color w:val="000000"/>
          <w:sz w:val="22"/>
          <w:szCs w:val="22"/>
        </w:rPr>
        <w:t xml:space="preserve"> to make 4 credits total -- Graduate Independent Study/Research</w:t>
      </w:r>
      <w:r w:rsidR="0090594D">
        <w:rPr>
          <w:rFonts w:asciiTheme="majorHAnsi" w:hAnsiTheme="majorHAnsi" w:cstheme="majorHAnsi"/>
          <w:color w:val="000000"/>
          <w:sz w:val="22"/>
          <w:szCs w:val="22"/>
        </w:rPr>
        <w:t xml:space="preserve">, </w:t>
      </w:r>
      <w:r w:rsidR="000B650A" w:rsidRPr="00AB35A8">
        <w:rPr>
          <w:rFonts w:asciiTheme="majorHAnsi" w:hAnsiTheme="majorHAnsi" w:cstheme="majorHAnsi"/>
          <w:color w:val="000000"/>
          <w:sz w:val="22"/>
          <w:szCs w:val="22"/>
        </w:rPr>
        <w:t>taken as a first research</w:t>
      </w:r>
      <w:r w:rsidR="00E24C21" w:rsidRPr="00AB35A8">
        <w:rPr>
          <w:rFonts w:asciiTheme="majorHAnsi" w:hAnsiTheme="majorHAnsi" w:cstheme="majorHAnsi"/>
          <w:color w:val="000000"/>
          <w:sz w:val="22"/>
          <w:szCs w:val="22"/>
        </w:rPr>
        <w:t xml:space="preserve"> lab</w:t>
      </w:r>
      <w:r w:rsidR="000B650A" w:rsidRPr="00AB35A8">
        <w:rPr>
          <w:rFonts w:asciiTheme="majorHAnsi" w:hAnsiTheme="majorHAnsi" w:cstheme="majorHAnsi"/>
          <w:color w:val="000000"/>
          <w:sz w:val="22"/>
          <w:szCs w:val="22"/>
        </w:rPr>
        <w:t xml:space="preserve"> rotation</w:t>
      </w:r>
      <w:r w:rsidR="0090594D">
        <w:rPr>
          <w:rFonts w:asciiTheme="majorHAnsi" w:hAnsiTheme="majorHAnsi" w:cstheme="majorHAnsi"/>
          <w:color w:val="000000"/>
          <w:sz w:val="22"/>
          <w:szCs w:val="22"/>
        </w:rPr>
        <w:t>.  File  Rotation Agreement Form and Rotation Evaluation Form.</w:t>
      </w:r>
      <w:r w:rsidR="000B650A" w:rsidRPr="00AB35A8">
        <w:rPr>
          <w:rFonts w:asciiTheme="majorHAnsi" w:hAnsiTheme="majorHAnsi" w:cstheme="majorHAnsi"/>
          <w:color w:val="000000"/>
          <w:sz w:val="22"/>
          <w:szCs w:val="22"/>
        </w:rPr>
        <w:t xml:space="preserve"> </w:t>
      </w:r>
    </w:p>
    <w:p w14:paraId="31D35D02" w14:textId="6CB1DF01" w:rsidR="000B650A" w:rsidRPr="00AB35A8" w:rsidRDefault="000B650A"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Responsible Conduct for Research (RCR)</w:t>
      </w:r>
      <w:r w:rsidR="00E24C21" w:rsidRPr="00AB35A8">
        <w:rPr>
          <w:rFonts w:asciiTheme="majorHAnsi" w:hAnsiTheme="majorHAnsi" w:cstheme="majorHAnsi"/>
          <w:color w:val="000000"/>
          <w:sz w:val="22"/>
          <w:szCs w:val="22"/>
        </w:rPr>
        <w:t>, Lab Safety and other safety trainings as appropriate</w:t>
      </w:r>
    </w:p>
    <w:p w14:paraId="6BBDD24D" w14:textId="3B8B8C20" w:rsidR="000B650A" w:rsidRPr="00AB35A8" w:rsidRDefault="000B650A"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Write initial version of Individual Development Plan (IDP), within RCR course</w:t>
      </w:r>
    </w:p>
    <w:p w14:paraId="738B685C" w14:textId="44973356" w:rsidR="00A370A8" w:rsidRPr="00AB35A8" w:rsidRDefault="00A370A8"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Fall Welcome Dinner and TSGP Orientation, in addition to University-run orientation sessions</w:t>
      </w:r>
    </w:p>
    <w:p w14:paraId="7F01BBB0" w14:textId="4227868F" w:rsidR="009D06D0" w:rsidRPr="00AB35A8" w:rsidRDefault="009D06D0"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Fall breakfast meetings with prospective lab rotation faculty trainers</w:t>
      </w:r>
    </w:p>
    <w:p w14:paraId="538A2F03" w14:textId="1DEB4788" w:rsidR="009D06D0" w:rsidRPr="00AB35A8" w:rsidRDefault="009D06D0" w:rsidP="009F60BD">
      <w:pPr>
        <w:pStyle w:val="ListParagraph"/>
        <w:numPr>
          <w:ilvl w:val="0"/>
          <w:numId w:val="2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Weekly TSGP seminars/lunches, monthly TSGP meetings, monthly faculty-student lunches</w:t>
      </w:r>
    </w:p>
    <w:p w14:paraId="6C39B9CC" w14:textId="77777777" w:rsidR="000B650A" w:rsidRPr="00AB35A8" w:rsidRDefault="000B650A" w:rsidP="00270F74">
      <w:pPr>
        <w:rPr>
          <w:rFonts w:asciiTheme="majorHAnsi" w:hAnsiTheme="majorHAnsi" w:cstheme="majorHAnsi"/>
          <w:color w:val="000000"/>
          <w:sz w:val="22"/>
          <w:szCs w:val="22"/>
        </w:rPr>
      </w:pPr>
    </w:p>
    <w:p w14:paraId="7D99C19D" w14:textId="206C3D8E" w:rsidR="000B650A" w:rsidRPr="00AB35A8" w:rsidRDefault="000B650A" w:rsidP="00270F74">
      <w:pPr>
        <w:rPr>
          <w:rFonts w:asciiTheme="majorHAnsi" w:hAnsiTheme="majorHAnsi" w:cstheme="majorHAnsi"/>
          <w:color w:val="000000"/>
          <w:sz w:val="22"/>
          <w:szCs w:val="22"/>
        </w:rPr>
      </w:pPr>
      <w:r w:rsidRPr="00AB35A8">
        <w:rPr>
          <w:rFonts w:asciiTheme="majorHAnsi" w:hAnsiTheme="majorHAnsi" w:cstheme="majorHAnsi"/>
          <w:b/>
          <w:color w:val="000000"/>
          <w:sz w:val="22"/>
          <w:szCs w:val="22"/>
        </w:rPr>
        <w:t>January between Semesters I and II:</w:t>
      </w:r>
      <w:r w:rsidRPr="00AB35A8">
        <w:rPr>
          <w:rFonts w:asciiTheme="majorHAnsi" w:hAnsiTheme="majorHAnsi" w:cstheme="majorHAnsi"/>
          <w:color w:val="000000"/>
          <w:sz w:val="22"/>
          <w:szCs w:val="22"/>
        </w:rPr>
        <w:t xml:space="preserve">  </w:t>
      </w:r>
      <w:r w:rsidR="00EA0BFC" w:rsidRPr="00AB35A8">
        <w:rPr>
          <w:rFonts w:asciiTheme="majorHAnsi" w:hAnsiTheme="majorHAnsi" w:cstheme="majorHAnsi"/>
          <w:color w:val="000000"/>
          <w:sz w:val="22"/>
          <w:szCs w:val="22"/>
        </w:rPr>
        <w:t>Two</w:t>
      </w:r>
      <w:r w:rsidRPr="00AB35A8">
        <w:rPr>
          <w:rFonts w:asciiTheme="majorHAnsi" w:hAnsiTheme="majorHAnsi" w:cstheme="majorHAnsi"/>
          <w:color w:val="000000"/>
          <w:sz w:val="22"/>
          <w:szCs w:val="22"/>
        </w:rPr>
        <w:t xml:space="preserve">-week </w:t>
      </w:r>
      <w:r w:rsidRPr="00AB35A8">
        <w:rPr>
          <w:rFonts w:asciiTheme="majorHAnsi" w:hAnsiTheme="majorHAnsi" w:cstheme="majorHAnsi"/>
          <w:sz w:val="22"/>
          <w:szCs w:val="22"/>
        </w:rPr>
        <w:t xml:space="preserve">Biostatistics </w:t>
      </w:r>
      <w:r w:rsidR="008808B5" w:rsidRPr="00AB35A8">
        <w:rPr>
          <w:rFonts w:asciiTheme="majorHAnsi" w:hAnsiTheme="majorHAnsi" w:cstheme="majorHAnsi"/>
          <w:sz w:val="22"/>
          <w:szCs w:val="22"/>
        </w:rPr>
        <w:t>module</w:t>
      </w:r>
      <w:r w:rsidRPr="00AB35A8">
        <w:rPr>
          <w:rFonts w:asciiTheme="majorHAnsi" w:hAnsiTheme="majorHAnsi" w:cstheme="majorHAnsi"/>
          <w:sz w:val="22"/>
          <w:szCs w:val="22"/>
        </w:rPr>
        <w:t xml:space="preserve"> (no course number)</w:t>
      </w:r>
    </w:p>
    <w:p w14:paraId="0EA5A3A4" w14:textId="77777777" w:rsidR="000B650A" w:rsidRPr="00AB35A8" w:rsidRDefault="000B650A" w:rsidP="00270F74">
      <w:pPr>
        <w:rPr>
          <w:rFonts w:asciiTheme="majorHAnsi" w:hAnsiTheme="majorHAnsi" w:cstheme="majorHAnsi"/>
          <w:color w:val="000000"/>
          <w:sz w:val="22"/>
          <w:szCs w:val="22"/>
        </w:rPr>
      </w:pPr>
    </w:p>
    <w:p w14:paraId="77E71667" w14:textId="77777777" w:rsidR="009F60BD" w:rsidRPr="00AB35A8" w:rsidRDefault="000B650A" w:rsidP="008808B5">
      <w:pPr>
        <w:rPr>
          <w:rFonts w:asciiTheme="majorHAnsi" w:hAnsiTheme="majorHAnsi" w:cstheme="majorHAnsi"/>
          <w:color w:val="000000"/>
          <w:sz w:val="22"/>
          <w:szCs w:val="22"/>
        </w:rPr>
      </w:pPr>
      <w:r w:rsidRPr="00AB35A8">
        <w:rPr>
          <w:rFonts w:asciiTheme="majorHAnsi" w:hAnsiTheme="majorHAnsi" w:cstheme="majorHAnsi"/>
          <w:b/>
          <w:color w:val="000000"/>
          <w:sz w:val="22"/>
          <w:szCs w:val="22"/>
        </w:rPr>
        <w:t>Semester II:</w:t>
      </w:r>
    </w:p>
    <w:p w14:paraId="17E749D0" w14:textId="1CBD8EB7" w:rsidR="008808B5" w:rsidRPr="00AB35A8" w:rsidRDefault="008808B5"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BIOL 2170 -- Molecular Pharmacology &amp; Physiology</w:t>
      </w:r>
      <w:r w:rsidR="00E24C21" w:rsidRPr="00AB35A8">
        <w:rPr>
          <w:rFonts w:asciiTheme="majorHAnsi" w:hAnsiTheme="majorHAnsi" w:cstheme="majorHAnsi"/>
          <w:color w:val="000000"/>
          <w:sz w:val="22"/>
          <w:szCs w:val="22"/>
        </w:rPr>
        <w:t xml:space="preserve"> (1 credit)</w:t>
      </w:r>
    </w:p>
    <w:p w14:paraId="523703ED" w14:textId="37B95B08" w:rsidR="0016257F" w:rsidRPr="00AB35A8" w:rsidRDefault="00404163"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w:t>
      </w:r>
      <w:r w:rsidR="009F60BD" w:rsidRPr="00AB35A8">
        <w:rPr>
          <w:rFonts w:asciiTheme="majorHAnsi" w:hAnsiTheme="majorHAnsi" w:cstheme="majorHAnsi"/>
          <w:color w:val="000000"/>
          <w:sz w:val="22"/>
          <w:szCs w:val="22"/>
        </w:rPr>
        <w:t>herapeutics-related elective or other elective course</w:t>
      </w:r>
      <w:r w:rsidRPr="00AB35A8">
        <w:rPr>
          <w:rFonts w:asciiTheme="majorHAnsi" w:hAnsiTheme="majorHAnsi" w:cstheme="majorHAnsi"/>
          <w:color w:val="000000"/>
          <w:sz w:val="22"/>
          <w:szCs w:val="22"/>
        </w:rPr>
        <w:t>(s), as desired</w:t>
      </w:r>
      <w:r w:rsidR="009F60BD" w:rsidRPr="00AB35A8">
        <w:rPr>
          <w:rFonts w:asciiTheme="majorHAnsi" w:hAnsiTheme="majorHAnsi" w:cstheme="majorHAnsi"/>
          <w:color w:val="000000"/>
          <w:sz w:val="22"/>
          <w:szCs w:val="22"/>
        </w:rPr>
        <w:t xml:space="preserve"> (1 credit per course)</w:t>
      </w:r>
    </w:p>
    <w:p w14:paraId="68761A83" w14:textId="671489ED" w:rsidR="000B650A" w:rsidRPr="00AB35A8" w:rsidRDefault="000B650A"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 xml:space="preserve">2 to </w:t>
      </w:r>
      <w:r w:rsidR="00720424" w:rsidRPr="00AB35A8">
        <w:rPr>
          <w:rFonts w:asciiTheme="majorHAnsi" w:hAnsiTheme="majorHAnsi" w:cstheme="majorHAnsi"/>
          <w:color w:val="000000"/>
          <w:sz w:val="22"/>
          <w:szCs w:val="22"/>
        </w:rPr>
        <w:t>4</w:t>
      </w:r>
      <w:r w:rsidR="0016257F" w:rsidRPr="00AB35A8">
        <w:rPr>
          <w:rFonts w:asciiTheme="majorHAnsi" w:hAnsiTheme="majorHAnsi" w:cstheme="majorHAnsi"/>
          <w:color w:val="000000"/>
          <w:sz w:val="22"/>
          <w:szCs w:val="22"/>
        </w:rPr>
        <w:t xml:space="preserve"> </w:t>
      </w:r>
      <w:r w:rsidRPr="00AB35A8">
        <w:rPr>
          <w:rFonts w:asciiTheme="majorHAnsi" w:hAnsiTheme="majorHAnsi" w:cstheme="majorHAnsi"/>
          <w:color w:val="000000"/>
          <w:sz w:val="22"/>
          <w:szCs w:val="22"/>
        </w:rPr>
        <w:t>credits of BIOL 2980</w:t>
      </w:r>
      <w:r w:rsidR="00E24C21" w:rsidRPr="00AB35A8">
        <w:rPr>
          <w:rFonts w:asciiTheme="majorHAnsi" w:hAnsiTheme="majorHAnsi" w:cstheme="majorHAnsi"/>
          <w:color w:val="000000"/>
          <w:sz w:val="22"/>
          <w:szCs w:val="22"/>
        </w:rPr>
        <w:t>, as needed to make a total of 4 credits</w:t>
      </w:r>
      <w:r w:rsidRPr="00AB35A8">
        <w:rPr>
          <w:rFonts w:asciiTheme="majorHAnsi" w:hAnsiTheme="majorHAnsi" w:cstheme="majorHAnsi"/>
          <w:color w:val="000000"/>
          <w:sz w:val="22"/>
          <w:szCs w:val="22"/>
        </w:rPr>
        <w:t xml:space="preserve"> </w:t>
      </w:r>
      <w:r w:rsidR="009D06D0" w:rsidRPr="00AB35A8">
        <w:rPr>
          <w:rFonts w:asciiTheme="majorHAnsi" w:hAnsiTheme="majorHAnsi" w:cstheme="majorHAnsi"/>
          <w:color w:val="000000"/>
          <w:sz w:val="22"/>
          <w:szCs w:val="22"/>
        </w:rPr>
        <w:t xml:space="preserve">-- </w:t>
      </w:r>
      <w:r w:rsidRPr="00AB35A8">
        <w:rPr>
          <w:rFonts w:asciiTheme="majorHAnsi" w:hAnsiTheme="majorHAnsi" w:cstheme="majorHAnsi"/>
          <w:color w:val="000000"/>
          <w:sz w:val="22"/>
          <w:szCs w:val="22"/>
        </w:rPr>
        <w:t xml:space="preserve">taken as 2 consecutive research </w:t>
      </w:r>
      <w:r w:rsidR="00E24C21" w:rsidRPr="00AB35A8">
        <w:rPr>
          <w:rFonts w:asciiTheme="majorHAnsi" w:hAnsiTheme="majorHAnsi" w:cstheme="majorHAnsi"/>
          <w:color w:val="000000"/>
          <w:sz w:val="22"/>
          <w:szCs w:val="22"/>
        </w:rPr>
        <w:t xml:space="preserve">lab </w:t>
      </w:r>
      <w:r w:rsidRPr="00AB35A8">
        <w:rPr>
          <w:rFonts w:asciiTheme="majorHAnsi" w:hAnsiTheme="majorHAnsi" w:cstheme="majorHAnsi"/>
          <w:color w:val="000000"/>
          <w:sz w:val="22"/>
          <w:szCs w:val="22"/>
        </w:rPr>
        <w:t>rotations</w:t>
      </w:r>
      <w:r w:rsidR="009D06D0" w:rsidRPr="00AB35A8">
        <w:rPr>
          <w:rFonts w:asciiTheme="majorHAnsi" w:hAnsiTheme="majorHAnsi" w:cstheme="majorHAnsi"/>
          <w:color w:val="000000"/>
          <w:sz w:val="22"/>
          <w:szCs w:val="22"/>
        </w:rPr>
        <w:t xml:space="preserve">; </w:t>
      </w:r>
      <w:r w:rsidR="0090594D">
        <w:rPr>
          <w:rFonts w:asciiTheme="majorHAnsi" w:hAnsiTheme="majorHAnsi" w:cstheme="majorHAnsi"/>
          <w:color w:val="000000"/>
          <w:sz w:val="22"/>
          <w:szCs w:val="22"/>
        </w:rPr>
        <w:t>file Rotation forms for each, as above.  M</w:t>
      </w:r>
      <w:r w:rsidR="0090594D" w:rsidRPr="00AB35A8">
        <w:rPr>
          <w:rFonts w:asciiTheme="majorHAnsi" w:hAnsiTheme="majorHAnsi" w:cstheme="majorHAnsi"/>
          <w:color w:val="000000"/>
          <w:sz w:val="22"/>
          <w:szCs w:val="22"/>
        </w:rPr>
        <w:t>ust match with a lab by the end of this semester</w:t>
      </w:r>
      <w:r w:rsidR="0090594D">
        <w:rPr>
          <w:rFonts w:asciiTheme="majorHAnsi" w:hAnsiTheme="majorHAnsi" w:cstheme="majorHAnsi"/>
          <w:color w:val="000000"/>
          <w:sz w:val="22"/>
          <w:szCs w:val="22"/>
        </w:rPr>
        <w:t xml:space="preserve">.  </w:t>
      </w:r>
    </w:p>
    <w:p w14:paraId="62292426" w14:textId="1D4714FF" w:rsidR="00E24C21" w:rsidRPr="00AB35A8" w:rsidRDefault="00E24C21"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Present first-year talk on a rotation project in May</w:t>
      </w:r>
      <w:r w:rsidR="009D06D0" w:rsidRPr="00AB35A8">
        <w:rPr>
          <w:rFonts w:asciiTheme="majorHAnsi" w:hAnsiTheme="majorHAnsi" w:cstheme="majorHAnsi"/>
          <w:color w:val="000000"/>
          <w:sz w:val="22"/>
          <w:szCs w:val="22"/>
        </w:rPr>
        <w:t xml:space="preserve"> (can be on any of the 3 rotations)</w:t>
      </w:r>
    </w:p>
    <w:p w14:paraId="78136B23" w14:textId="77777777" w:rsidR="009D06D0" w:rsidRPr="00AB35A8" w:rsidRDefault="009D06D0" w:rsidP="009D06D0">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Weekly TSGP seminars/lunches, monthly TSGP meetings, monthly faculty-student lunches</w:t>
      </w:r>
    </w:p>
    <w:p w14:paraId="699AF0C3" w14:textId="25754E84" w:rsidR="009D06D0" w:rsidRPr="00AB35A8" w:rsidRDefault="009D06D0"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TSGP Annual Retreat</w:t>
      </w:r>
    </w:p>
    <w:p w14:paraId="61BF76DC" w14:textId="3B9DC7D5" w:rsidR="00972426" w:rsidRPr="00AB35A8" w:rsidRDefault="00E24C21"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May s</w:t>
      </w:r>
      <w:r w:rsidR="009F60BD" w:rsidRPr="00AB35A8">
        <w:rPr>
          <w:rFonts w:asciiTheme="majorHAnsi" w:hAnsiTheme="majorHAnsi" w:cstheme="majorHAnsi"/>
          <w:color w:val="000000"/>
          <w:sz w:val="22"/>
          <w:szCs w:val="22"/>
        </w:rPr>
        <w:t xml:space="preserve">ubmit </w:t>
      </w:r>
      <w:r w:rsidRPr="00AB35A8">
        <w:rPr>
          <w:rFonts w:asciiTheme="majorHAnsi" w:hAnsiTheme="majorHAnsi" w:cstheme="majorHAnsi"/>
          <w:color w:val="000000"/>
          <w:sz w:val="22"/>
          <w:szCs w:val="22"/>
        </w:rPr>
        <w:t xml:space="preserve">an </w:t>
      </w:r>
      <w:r w:rsidR="009F60BD" w:rsidRPr="00AB35A8">
        <w:rPr>
          <w:rFonts w:asciiTheme="majorHAnsi" w:hAnsiTheme="majorHAnsi" w:cstheme="majorHAnsi"/>
          <w:color w:val="000000"/>
          <w:sz w:val="22"/>
          <w:szCs w:val="22"/>
        </w:rPr>
        <w:t xml:space="preserve">application for </w:t>
      </w:r>
      <w:r w:rsidRPr="00AB35A8">
        <w:rPr>
          <w:rFonts w:asciiTheme="majorHAnsi" w:hAnsiTheme="majorHAnsi" w:cstheme="majorHAnsi"/>
          <w:color w:val="000000"/>
          <w:sz w:val="22"/>
          <w:szCs w:val="22"/>
        </w:rPr>
        <w:t>a</w:t>
      </w:r>
      <w:r w:rsidR="009F60BD" w:rsidRPr="00AB35A8">
        <w:rPr>
          <w:rFonts w:asciiTheme="majorHAnsi" w:hAnsiTheme="majorHAnsi" w:cstheme="majorHAnsi"/>
          <w:color w:val="000000"/>
          <w:sz w:val="22"/>
          <w:szCs w:val="22"/>
        </w:rPr>
        <w:t xml:space="preserve"> fellowship for which there is eligibility</w:t>
      </w:r>
    </w:p>
    <w:p w14:paraId="6DECD349" w14:textId="1DD81D52" w:rsidR="00D1144C" w:rsidRPr="00AB35A8" w:rsidRDefault="00D1144C" w:rsidP="009F60BD">
      <w:pPr>
        <w:pStyle w:val="ListParagraph"/>
        <w:numPr>
          <w:ilvl w:val="0"/>
          <w:numId w:val="26"/>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Present at scientific meetings, and publish, as appropriate</w:t>
      </w:r>
    </w:p>
    <w:p w14:paraId="15E40110" w14:textId="3E901CF1" w:rsidR="000B650A" w:rsidRPr="00AB35A8" w:rsidRDefault="000B650A" w:rsidP="009F60BD">
      <w:pPr>
        <w:rPr>
          <w:rFonts w:asciiTheme="majorHAnsi" w:hAnsiTheme="majorHAnsi" w:cstheme="majorHAnsi"/>
          <w:color w:val="000000"/>
          <w:sz w:val="22"/>
          <w:szCs w:val="22"/>
        </w:rPr>
      </w:pPr>
    </w:p>
    <w:p w14:paraId="559F9140" w14:textId="77777777" w:rsidR="009D06D0" w:rsidRPr="00AB35A8" w:rsidRDefault="0047326A" w:rsidP="00C66EBD">
      <w:pPr>
        <w:ind w:left="1440" w:hanging="1440"/>
        <w:rPr>
          <w:rFonts w:asciiTheme="majorHAnsi" w:hAnsiTheme="majorHAnsi" w:cstheme="majorHAnsi"/>
          <w:color w:val="000000"/>
          <w:sz w:val="22"/>
          <w:szCs w:val="22"/>
        </w:rPr>
      </w:pPr>
      <w:r w:rsidRPr="00AB35A8">
        <w:rPr>
          <w:rFonts w:asciiTheme="majorHAnsi" w:hAnsiTheme="majorHAnsi" w:cstheme="majorHAnsi"/>
          <w:b/>
          <w:bCs/>
          <w:color w:val="000000"/>
          <w:sz w:val="22"/>
          <w:szCs w:val="22"/>
        </w:rPr>
        <w:t>Summer between years 1 and 2:</w:t>
      </w:r>
      <w:r w:rsidRPr="00AB35A8">
        <w:rPr>
          <w:rFonts w:asciiTheme="majorHAnsi" w:hAnsiTheme="majorHAnsi" w:cstheme="majorHAnsi"/>
          <w:color w:val="000000"/>
          <w:sz w:val="22"/>
          <w:szCs w:val="22"/>
        </w:rPr>
        <w:t xml:space="preserve">  </w:t>
      </w:r>
    </w:p>
    <w:p w14:paraId="39B32809" w14:textId="35AD3CE0" w:rsidR="0047326A" w:rsidRPr="00AB35A8" w:rsidRDefault="0047326A" w:rsidP="009D06D0">
      <w:pPr>
        <w:pStyle w:val="ListParagraph"/>
        <w:numPr>
          <w:ilvl w:val="0"/>
          <w:numId w:val="3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Optional internship at Pfizer</w:t>
      </w:r>
      <w:r w:rsidR="009D06D0" w:rsidRPr="00AB35A8">
        <w:rPr>
          <w:rFonts w:asciiTheme="majorHAnsi" w:hAnsiTheme="majorHAnsi" w:cstheme="majorHAnsi"/>
          <w:color w:val="000000"/>
          <w:sz w:val="22"/>
          <w:szCs w:val="22"/>
        </w:rPr>
        <w:t xml:space="preserve">:  </w:t>
      </w:r>
      <w:r w:rsidRPr="00AB35A8">
        <w:rPr>
          <w:rFonts w:asciiTheme="majorHAnsi" w:hAnsiTheme="majorHAnsi" w:cstheme="majorHAnsi"/>
          <w:color w:val="000000"/>
          <w:sz w:val="22"/>
          <w:szCs w:val="22"/>
        </w:rPr>
        <w:t>8-10 weeks in either Groton, CT, or Cambridge, MA</w:t>
      </w:r>
      <w:r w:rsidR="009D06D0" w:rsidRPr="00AB35A8">
        <w:rPr>
          <w:rFonts w:asciiTheme="majorHAnsi" w:hAnsiTheme="majorHAnsi" w:cstheme="majorHAnsi"/>
          <w:color w:val="000000"/>
          <w:sz w:val="22"/>
          <w:szCs w:val="22"/>
        </w:rPr>
        <w:t>, usually started mid-June</w:t>
      </w:r>
    </w:p>
    <w:p w14:paraId="5DA63B70" w14:textId="5D9D8BBE" w:rsidR="009D06D0" w:rsidRDefault="009D06D0" w:rsidP="009D06D0">
      <w:pPr>
        <w:pStyle w:val="ListParagraph"/>
        <w:numPr>
          <w:ilvl w:val="0"/>
          <w:numId w:val="30"/>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Perform experiments and background reading to develop thesis research project</w:t>
      </w:r>
    </w:p>
    <w:p w14:paraId="7545CF9C" w14:textId="77777777" w:rsidR="0047326A" w:rsidRPr="00AB35A8" w:rsidRDefault="0047326A" w:rsidP="00547AD4">
      <w:pPr>
        <w:rPr>
          <w:rFonts w:asciiTheme="majorHAnsi" w:hAnsiTheme="majorHAnsi" w:cstheme="majorHAnsi"/>
          <w:color w:val="000000"/>
          <w:sz w:val="22"/>
          <w:szCs w:val="22"/>
        </w:rPr>
      </w:pPr>
    </w:p>
    <w:p w14:paraId="60B80C8C" w14:textId="77777777" w:rsidR="009F60BD" w:rsidRPr="00AB35A8" w:rsidRDefault="000B650A" w:rsidP="00270F74">
      <w:pPr>
        <w:rPr>
          <w:rFonts w:asciiTheme="majorHAnsi" w:hAnsiTheme="majorHAnsi" w:cstheme="majorHAnsi"/>
          <w:color w:val="000000"/>
          <w:sz w:val="22"/>
          <w:szCs w:val="22"/>
        </w:rPr>
      </w:pPr>
      <w:r w:rsidRPr="00AB35A8">
        <w:rPr>
          <w:rFonts w:asciiTheme="majorHAnsi" w:hAnsiTheme="majorHAnsi" w:cstheme="majorHAnsi"/>
          <w:b/>
          <w:color w:val="000000"/>
          <w:sz w:val="22"/>
          <w:szCs w:val="22"/>
        </w:rPr>
        <w:t>Semester III:</w:t>
      </w:r>
    </w:p>
    <w:p w14:paraId="4490094A" w14:textId="260BF620" w:rsidR="00186B89" w:rsidRPr="00AB35A8" w:rsidRDefault="00E24C21"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Therapeutics-related elective and/or other elective course</w:t>
      </w:r>
      <w:r w:rsidR="00404163" w:rsidRPr="00AB35A8">
        <w:rPr>
          <w:rFonts w:asciiTheme="majorHAnsi" w:hAnsiTheme="majorHAnsi" w:cstheme="majorHAnsi"/>
          <w:color w:val="000000"/>
          <w:sz w:val="22"/>
          <w:szCs w:val="22"/>
        </w:rPr>
        <w:t>(s), as desired</w:t>
      </w:r>
      <w:r w:rsidRPr="00AB35A8">
        <w:rPr>
          <w:rFonts w:asciiTheme="majorHAnsi" w:hAnsiTheme="majorHAnsi" w:cstheme="majorHAnsi"/>
          <w:color w:val="000000"/>
          <w:sz w:val="22"/>
          <w:szCs w:val="22"/>
        </w:rPr>
        <w:t xml:space="preserve"> (1 credit per course)</w:t>
      </w:r>
    </w:p>
    <w:p w14:paraId="73368D98" w14:textId="45B92AE6" w:rsidR="000B650A" w:rsidRPr="00AB35A8" w:rsidRDefault="00404163"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2</w:t>
      </w:r>
      <w:r w:rsidR="000B650A" w:rsidRPr="00AB35A8">
        <w:rPr>
          <w:rFonts w:asciiTheme="majorHAnsi" w:hAnsiTheme="majorHAnsi" w:cstheme="majorHAnsi"/>
          <w:color w:val="000000"/>
          <w:sz w:val="22"/>
          <w:szCs w:val="22"/>
        </w:rPr>
        <w:t xml:space="preserve"> to </w:t>
      </w:r>
      <w:r w:rsidRPr="00AB35A8">
        <w:rPr>
          <w:rFonts w:asciiTheme="majorHAnsi" w:hAnsiTheme="majorHAnsi" w:cstheme="majorHAnsi"/>
          <w:color w:val="000000"/>
          <w:sz w:val="22"/>
          <w:szCs w:val="22"/>
        </w:rPr>
        <w:t>4</w:t>
      </w:r>
      <w:r w:rsidR="00186B89" w:rsidRPr="00AB35A8">
        <w:rPr>
          <w:rFonts w:asciiTheme="majorHAnsi" w:hAnsiTheme="majorHAnsi" w:cstheme="majorHAnsi"/>
          <w:color w:val="000000"/>
          <w:sz w:val="22"/>
          <w:szCs w:val="22"/>
        </w:rPr>
        <w:t xml:space="preserve"> </w:t>
      </w:r>
      <w:r w:rsidR="000B650A" w:rsidRPr="00AB35A8">
        <w:rPr>
          <w:rFonts w:asciiTheme="majorHAnsi" w:hAnsiTheme="majorHAnsi" w:cstheme="majorHAnsi"/>
          <w:color w:val="000000"/>
          <w:sz w:val="22"/>
          <w:szCs w:val="22"/>
        </w:rPr>
        <w:t>credits of BIOL 2980 for thesis research, to make a total of 4 credits/semester</w:t>
      </w:r>
    </w:p>
    <w:p w14:paraId="0A31D759" w14:textId="4E315DA5" w:rsidR="00E24C21" w:rsidRPr="00AB35A8" w:rsidRDefault="00A370A8"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Finalize plans for</w:t>
      </w:r>
      <w:r w:rsidR="00E24C21" w:rsidRPr="00AB35A8">
        <w:rPr>
          <w:rFonts w:asciiTheme="majorHAnsi" w:hAnsiTheme="majorHAnsi" w:cstheme="majorHAnsi"/>
          <w:color w:val="000000"/>
          <w:sz w:val="22"/>
          <w:szCs w:val="22"/>
        </w:rPr>
        <w:t xml:space="preserve"> thesis project and begin writing thesis proposal</w:t>
      </w:r>
    </w:p>
    <w:p w14:paraId="0EE2E3E0" w14:textId="5FF33646" w:rsidR="000B650A" w:rsidRPr="00AB35A8" w:rsidRDefault="000B650A"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Teaching assistantship</w:t>
      </w:r>
      <w:r w:rsidR="00A370A8" w:rsidRPr="00AB35A8">
        <w:rPr>
          <w:rFonts w:asciiTheme="majorHAnsi" w:hAnsiTheme="majorHAnsi" w:cstheme="majorHAnsi"/>
          <w:color w:val="000000"/>
          <w:sz w:val="22"/>
          <w:szCs w:val="22"/>
        </w:rPr>
        <w:t xml:space="preserve">, one course </w:t>
      </w:r>
      <w:r w:rsidR="00D51AAB" w:rsidRPr="00AB35A8">
        <w:rPr>
          <w:rFonts w:asciiTheme="majorHAnsi" w:hAnsiTheme="majorHAnsi" w:cstheme="majorHAnsi"/>
          <w:color w:val="000000"/>
          <w:sz w:val="22"/>
          <w:szCs w:val="22"/>
        </w:rPr>
        <w:t>in</w:t>
      </w:r>
      <w:r w:rsidRPr="00AB35A8">
        <w:rPr>
          <w:rFonts w:asciiTheme="majorHAnsi" w:hAnsiTheme="majorHAnsi" w:cstheme="majorHAnsi"/>
          <w:color w:val="000000"/>
          <w:sz w:val="22"/>
          <w:szCs w:val="22"/>
        </w:rPr>
        <w:t xml:space="preserve"> either semester III or IV (not both)</w:t>
      </w:r>
      <w:r w:rsidR="00A370A8" w:rsidRPr="00AB35A8">
        <w:rPr>
          <w:rFonts w:asciiTheme="majorHAnsi" w:hAnsiTheme="majorHAnsi" w:cstheme="majorHAnsi"/>
          <w:color w:val="000000"/>
          <w:sz w:val="22"/>
          <w:szCs w:val="22"/>
        </w:rPr>
        <w:t>; each student will be notified of the specific course, and will need to contact the course director and/or manager for duties, take TA orientation, and sit in on every lecture</w:t>
      </w:r>
    </w:p>
    <w:p w14:paraId="107605C2" w14:textId="4B4BF1E4" w:rsidR="00A370A8" w:rsidRPr="00AB35A8" w:rsidRDefault="00A370A8"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Weekly TSGP seminars/lunches, monthly TSGP meetings, monthly faculty-student lunches</w:t>
      </w:r>
    </w:p>
    <w:p w14:paraId="7A69B422" w14:textId="0F4ACEF8" w:rsidR="00972426" w:rsidRPr="00AB35A8" w:rsidRDefault="00720424"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May s</w:t>
      </w:r>
      <w:r w:rsidR="00E24C21" w:rsidRPr="00AB35A8">
        <w:rPr>
          <w:rFonts w:asciiTheme="majorHAnsi" w:hAnsiTheme="majorHAnsi" w:cstheme="majorHAnsi"/>
          <w:color w:val="000000"/>
          <w:sz w:val="22"/>
          <w:szCs w:val="22"/>
        </w:rPr>
        <w:t>ubmit an application for a fellowship for which there is eligibility</w:t>
      </w:r>
      <w:r w:rsidRPr="00AB35A8">
        <w:rPr>
          <w:rFonts w:asciiTheme="majorHAnsi" w:hAnsiTheme="majorHAnsi" w:cstheme="majorHAnsi"/>
          <w:color w:val="000000"/>
          <w:sz w:val="22"/>
          <w:szCs w:val="22"/>
        </w:rPr>
        <w:t>, if not already done</w:t>
      </w:r>
    </w:p>
    <w:p w14:paraId="3F11A5EB" w14:textId="249FB464" w:rsidR="00D1144C" w:rsidRPr="00AB35A8" w:rsidRDefault="00D1144C" w:rsidP="009F60BD">
      <w:pPr>
        <w:pStyle w:val="ListParagraph"/>
        <w:numPr>
          <w:ilvl w:val="0"/>
          <w:numId w:val="27"/>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Present at scientific meetings, and publish, as appropriate</w:t>
      </w:r>
    </w:p>
    <w:p w14:paraId="314CD255" w14:textId="77777777" w:rsidR="000B650A" w:rsidRPr="00AB35A8" w:rsidRDefault="000B650A" w:rsidP="00270F74">
      <w:pPr>
        <w:rPr>
          <w:rFonts w:asciiTheme="majorHAnsi" w:hAnsiTheme="majorHAnsi" w:cstheme="majorHAnsi"/>
          <w:color w:val="000000"/>
          <w:sz w:val="22"/>
          <w:szCs w:val="22"/>
        </w:rPr>
      </w:pPr>
    </w:p>
    <w:p w14:paraId="21C77351" w14:textId="77777777" w:rsidR="009F60BD" w:rsidRPr="00AB35A8" w:rsidRDefault="000B650A" w:rsidP="00270F74">
      <w:pPr>
        <w:rPr>
          <w:rFonts w:asciiTheme="majorHAnsi" w:hAnsiTheme="majorHAnsi" w:cstheme="majorHAnsi"/>
          <w:color w:val="000000"/>
          <w:sz w:val="22"/>
          <w:szCs w:val="22"/>
        </w:rPr>
      </w:pPr>
      <w:r w:rsidRPr="00AB35A8">
        <w:rPr>
          <w:rFonts w:asciiTheme="majorHAnsi" w:hAnsiTheme="majorHAnsi" w:cstheme="majorHAnsi"/>
          <w:b/>
          <w:color w:val="000000"/>
          <w:sz w:val="22"/>
          <w:szCs w:val="22"/>
        </w:rPr>
        <w:t>Semester IV:</w:t>
      </w:r>
    </w:p>
    <w:p w14:paraId="6B2DC511" w14:textId="2F6F9C44" w:rsidR="000B650A" w:rsidRPr="00AB35A8" w:rsidRDefault="00404163" w:rsidP="009F60BD">
      <w:pPr>
        <w:pStyle w:val="ListParagraph"/>
        <w:numPr>
          <w:ilvl w:val="0"/>
          <w:numId w:val="29"/>
        </w:numPr>
        <w:rPr>
          <w:rFonts w:asciiTheme="majorHAnsi" w:hAnsiTheme="majorHAnsi" w:cstheme="majorHAnsi"/>
          <w:color w:val="000000"/>
          <w:sz w:val="22"/>
          <w:szCs w:val="22"/>
        </w:rPr>
      </w:pPr>
      <w:r w:rsidRPr="00AB35A8">
        <w:rPr>
          <w:rFonts w:asciiTheme="majorHAnsi" w:hAnsiTheme="majorHAnsi" w:cstheme="majorHAnsi"/>
          <w:color w:val="000000"/>
          <w:sz w:val="22"/>
          <w:szCs w:val="22"/>
        </w:rPr>
        <w:t>Therapeutics-related elective and/or other elective course, as desired (1 credit per course)</w:t>
      </w:r>
    </w:p>
    <w:p w14:paraId="55EE143C" w14:textId="7A1FBF43" w:rsidR="000B650A" w:rsidRPr="00AB35A8" w:rsidRDefault="00404163"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2</w:t>
      </w:r>
      <w:r w:rsidR="00D77AB8" w:rsidRPr="00AB35A8">
        <w:rPr>
          <w:rFonts w:asciiTheme="majorHAnsi" w:hAnsiTheme="majorHAnsi" w:cstheme="majorHAnsi"/>
          <w:color w:val="000000"/>
          <w:sz w:val="22"/>
          <w:szCs w:val="22"/>
        </w:rPr>
        <w:t xml:space="preserve"> </w:t>
      </w:r>
      <w:r w:rsidR="000B650A" w:rsidRPr="00AB35A8">
        <w:rPr>
          <w:rFonts w:asciiTheme="majorHAnsi" w:hAnsiTheme="majorHAnsi" w:cstheme="majorHAnsi"/>
          <w:color w:val="000000"/>
          <w:sz w:val="22"/>
          <w:szCs w:val="22"/>
        </w:rPr>
        <w:t xml:space="preserve">to </w:t>
      </w:r>
      <w:r w:rsidR="008A6BB9" w:rsidRPr="00AB35A8">
        <w:rPr>
          <w:rFonts w:asciiTheme="majorHAnsi" w:hAnsiTheme="majorHAnsi" w:cstheme="majorHAnsi"/>
          <w:color w:val="000000"/>
          <w:sz w:val="22"/>
          <w:szCs w:val="22"/>
        </w:rPr>
        <w:t xml:space="preserve">4 </w:t>
      </w:r>
      <w:r w:rsidR="000B650A" w:rsidRPr="00AB35A8">
        <w:rPr>
          <w:rFonts w:asciiTheme="majorHAnsi" w:hAnsiTheme="majorHAnsi" w:cstheme="majorHAnsi"/>
          <w:color w:val="000000"/>
          <w:sz w:val="22"/>
          <w:szCs w:val="22"/>
        </w:rPr>
        <w:t>credits of BIOL 2980 for thesis research, to make a total of 4 credits/semester</w:t>
      </w:r>
    </w:p>
    <w:p w14:paraId="298B33C4" w14:textId="7E6B30F9" w:rsidR="000B650A" w:rsidRPr="00AB35A8" w:rsidRDefault="000B650A"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 xml:space="preserve">Teaching assistantship </w:t>
      </w:r>
      <w:r w:rsidR="00D51AAB" w:rsidRPr="00AB35A8">
        <w:rPr>
          <w:rFonts w:asciiTheme="majorHAnsi" w:hAnsiTheme="majorHAnsi" w:cstheme="majorHAnsi"/>
          <w:color w:val="000000"/>
          <w:sz w:val="22"/>
          <w:szCs w:val="22"/>
        </w:rPr>
        <w:t xml:space="preserve">in </w:t>
      </w:r>
      <w:r w:rsidRPr="00AB35A8">
        <w:rPr>
          <w:rFonts w:asciiTheme="majorHAnsi" w:hAnsiTheme="majorHAnsi" w:cstheme="majorHAnsi"/>
          <w:color w:val="000000"/>
          <w:sz w:val="22"/>
          <w:szCs w:val="22"/>
        </w:rPr>
        <w:t>either semester III or IV (not both</w:t>
      </w:r>
      <w:r w:rsidR="00404163" w:rsidRPr="00AB35A8">
        <w:rPr>
          <w:rFonts w:asciiTheme="majorHAnsi" w:hAnsiTheme="majorHAnsi" w:cstheme="majorHAnsi"/>
          <w:color w:val="000000"/>
          <w:sz w:val="22"/>
          <w:szCs w:val="22"/>
        </w:rPr>
        <w:t>; see semester III instructions</w:t>
      </w:r>
      <w:r w:rsidRPr="00AB35A8">
        <w:rPr>
          <w:rFonts w:asciiTheme="majorHAnsi" w:hAnsiTheme="majorHAnsi" w:cstheme="majorHAnsi"/>
          <w:color w:val="000000"/>
          <w:sz w:val="22"/>
          <w:szCs w:val="22"/>
        </w:rPr>
        <w:t>)</w:t>
      </w:r>
    </w:p>
    <w:p w14:paraId="7142C2AE" w14:textId="41959FB7" w:rsidR="00720424" w:rsidRPr="00AB35A8" w:rsidRDefault="00720424"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Choose and invite Thesis Committee members and have an initial meeting once there is a thesis project outline</w:t>
      </w:r>
      <w:r w:rsidR="00D4246F">
        <w:rPr>
          <w:rFonts w:asciiTheme="majorHAnsi" w:hAnsiTheme="majorHAnsi" w:cstheme="majorHAnsi"/>
          <w:color w:val="000000"/>
          <w:sz w:val="22"/>
          <w:szCs w:val="22"/>
        </w:rPr>
        <w:t>.  File Committee Report Form for this and all other meetings with the committee, which will generally occur twice per year as progress reports; the exceptions are special forms for the Qualifying Exam and Thesis Defense.</w:t>
      </w:r>
    </w:p>
    <w:p w14:paraId="5C4DA43E" w14:textId="4F6CEA65" w:rsidR="000B650A" w:rsidRPr="00AB35A8" w:rsidRDefault="000B650A"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Qualifying ("Preliminary") Exam, which includes writing a thesis proposal</w:t>
      </w:r>
    </w:p>
    <w:p w14:paraId="2068F89D" w14:textId="7616634B" w:rsidR="00720424" w:rsidRPr="00AB35A8" w:rsidRDefault="00720424"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Weekly TSGP seminars/lunches, monthly TSGP meetings, monthly faculty-student lunches</w:t>
      </w:r>
    </w:p>
    <w:p w14:paraId="008E2478" w14:textId="2216E5E9" w:rsidR="00972426" w:rsidRPr="00AB35A8" w:rsidRDefault="00720424"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May s</w:t>
      </w:r>
      <w:r w:rsidR="00972426" w:rsidRPr="00AB35A8">
        <w:rPr>
          <w:rFonts w:asciiTheme="majorHAnsi" w:hAnsiTheme="majorHAnsi" w:cstheme="majorHAnsi"/>
          <w:color w:val="000000"/>
          <w:sz w:val="22"/>
          <w:szCs w:val="22"/>
        </w:rPr>
        <w:t xml:space="preserve">ubmit </w:t>
      </w:r>
      <w:r w:rsidRPr="00AB35A8">
        <w:rPr>
          <w:rFonts w:asciiTheme="majorHAnsi" w:hAnsiTheme="majorHAnsi" w:cstheme="majorHAnsi"/>
          <w:color w:val="000000"/>
          <w:sz w:val="22"/>
          <w:szCs w:val="22"/>
        </w:rPr>
        <w:t xml:space="preserve">an </w:t>
      </w:r>
      <w:r w:rsidR="00972426" w:rsidRPr="00AB35A8">
        <w:rPr>
          <w:rFonts w:asciiTheme="majorHAnsi" w:hAnsiTheme="majorHAnsi" w:cstheme="majorHAnsi"/>
          <w:color w:val="000000"/>
          <w:sz w:val="22"/>
          <w:szCs w:val="22"/>
        </w:rPr>
        <w:t>application for any fellowship for which there is eligibility</w:t>
      </w:r>
      <w:r w:rsidRPr="00AB35A8">
        <w:rPr>
          <w:rFonts w:asciiTheme="majorHAnsi" w:hAnsiTheme="majorHAnsi" w:cstheme="majorHAnsi"/>
          <w:color w:val="000000"/>
          <w:sz w:val="22"/>
          <w:szCs w:val="22"/>
        </w:rPr>
        <w:t>, if not already done</w:t>
      </w:r>
    </w:p>
    <w:p w14:paraId="392B378E" w14:textId="5522183F" w:rsidR="00D1144C" w:rsidRPr="00AB35A8" w:rsidRDefault="00D1144C" w:rsidP="009F60BD">
      <w:pPr>
        <w:pStyle w:val="ListParagraph"/>
        <w:numPr>
          <w:ilvl w:val="0"/>
          <w:numId w:val="28"/>
        </w:numPr>
        <w:ind w:left="720"/>
        <w:rPr>
          <w:rFonts w:asciiTheme="majorHAnsi" w:hAnsiTheme="majorHAnsi" w:cstheme="majorHAnsi"/>
          <w:color w:val="000000"/>
          <w:sz w:val="22"/>
          <w:szCs w:val="22"/>
        </w:rPr>
      </w:pPr>
      <w:r w:rsidRPr="00AB35A8">
        <w:rPr>
          <w:rFonts w:asciiTheme="majorHAnsi" w:hAnsiTheme="majorHAnsi" w:cstheme="majorHAnsi"/>
          <w:color w:val="000000"/>
          <w:sz w:val="22"/>
          <w:szCs w:val="22"/>
        </w:rPr>
        <w:t>Present at scientific meetings, and publish, as appropriate</w:t>
      </w:r>
      <w:r w:rsidR="00BF1D4C">
        <w:rPr>
          <w:rFonts w:asciiTheme="majorHAnsi" w:hAnsiTheme="majorHAnsi" w:cstheme="majorHAnsi"/>
          <w:color w:val="000000"/>
          <w:sz w:val="22"/>
          <w:szCs w:val="22"/>
        </w:rPr>
        <w:t xml:space="preserve"> (one accepted first-authored, peer-reviewed paper is required by graduation, but more papers are even better for the student's career)</w:t>
      </w:r>
    </w:p>
    <w:p w14:paraId="29A2C7A6" w14:textId="77777777" w:rsidR="000B650A" w:rsidRPr="00AB35A8" w:rsidRDefault="000B650A" w:rsidP="000B650A">
      <w:pPr>
        <w:jc w:val="both"/>
        <w:rPr>
          <w:rFonts w:asciiTheme="majorHAnsi" w:hAnsiTheme="majorHAnsi" w:cstheme="majorHAnsi"/>
          <w:color w:val="000000"/>
          <w:sz w:val="22"/>
          <w:szCs w:val="22"/>
        </w:rPr>
      </w:pPr>
    </w:p>
    <w:p w14:paraId="3660AC23" w14:textId="2F228263" w:rsidR="00D94F5C" w:rsidRPr="00AB35A8" w:rsidRDefault="00D94F5C" w:rsidP="000B650A">
      <w:pPr>
        <w:jc w:val="both"/>
        <w:rPr>
          <w:rFonts w:asciiTheme="majorHAnsi" w:hAnsiTheme="majorHAnsi" w:cstheme="majorHAnsi"/>
          <w:color w:val="000000"/>
          <w:sz w:val="22"/>
          <w:szCs w:val="22"/>
        </w:rPr>
      </w:pPr>
      <w:r w:rsidRPr="002A7D90">
        <w:rPr>
          <w:rFonts w:asciiTheme="majorHAnsi" w:hAnsiTheme="majorHAnsi" w:cstheme="majorHAnsi"/>
          <w:b/>
          <w:bCs/>
          <w:i/>
          <w:iCs/>
          <w:color w:val="000000"/>
          <w:sz w:val="22"/>
          <w:szCs w:val="22"/>
          <w:u w:val="single"/>
        </w:rPr>
        <w:t>After the first 2 years</w:t>
      </w:r>
      <w:r w:rsidRPr="00AB35A8">
        <w:rPr>
          <w:rFonts w:asciiTheme="majorHAnsi" w:hAnsiTheme="majorHAnsi" w:cstheme="majorHAnsi"/>
          <w:color w:val="000000"/>
          <w:sz w:val="22"/>
          <w:szCs w:val="22"/>
        </w:rPr>
        <w:t xml:space="preserve">, students focus </w:t>
      </w:r>
      <w:r w:rsidR="00147E89" w:rsidRPr="00AB35A8">
        <w:rPr>
          <w:rFonts w:asciiTheme="majorHAnsi" w:hAnsiTheme="majorHAnsi" w:cstheme="majorHAnsi"/>
          <w:color w:val="000000"/>
          <w:sz w:val="22"/>
          <w:szCs w:val="22"/>
        </w:rPr>
        <w:t xml:space="preserve">intensively </w:t>
      </w:r>
      <w:r w:rsidRPr="00AB35A8">
        <w:rPr>
          <w:rFonts w:asciiTheme="majorHAnsi" w:hAnsiTheme="majorHAnsi" w:cstheme="majorHAnsi"/>
          <w:color w:val="000000"/>
          <w:sz w:val="22"/>
          <w:szCs w:val="22"/>
        </w:rPr>
        <w:t xml:space="preserve">on their thesis research, presenting at scientific meetings, and writing publications and a </w:t>
      </w:r>
      <w:r w:rsidR="00FD7A5A" w:rsidRPr="00AB35A8">
        <w:rPr>
          <w:rFonts w:asciiTheme="majorHAnsi" w:hAnsiTheme="majorHAnsi" w:cstheme="majorHAnsi"/>
          <w:color w:val="000000"/>
          <w:sz w:val="22"/>
          <w:szCs w:val="22"/>
        </w:rPr>
        <w:t>PhD</w:t>
      </w:r>
      <w:r w:rsidRPr="00AB35A8">
        <w:rPr>
          <w:rFonts w:asciiTheme="majorHAnsi" w:hAnsiTheme="majorHAnsi" w:cstheme="majorHAnsi"/>
          <w:color w:val="000000"/>
          <w:sz w:val="22"/>
          <w:szCs w:val="22"/>
        </w:rPr>
        <w:t xml:space="preserve"> thesis.</w:t>
      </w:r>
      <w:r w:rsidR="00D1144C" w:rsidRPr="00AB35A8">
        <w:rPr>
          <w:rFonts w:asciiTheme="majorHAnsi" w:hAnsiTheme="majorHAnsi" w:cstheme="majorHAnsi"/>
          <w:color w:val="000000"/>
          <w:sz w:val="22"/>
          <w:szCs w:val="22"/>
        </w:rPr>
        <w:t xml:space="preserve"> </w:t>
      </w:r>
      <w:r w:rsidR="007B024A" w:rsidRPr="00AB35A8">
        <w:rPr>
          <w:rFonts w:asciiTheme="majorHAnsi" w:hAnsiTheme="majorHAnsi" w:cstheme="majorHAnsi"/>
          <w:color w:val="000000"/>
          <w:sz w:val="22"/>
          <w:szCs w:val="22"/>
        </w:rPr>
        <w:t xml:space="preserve"> If they have not yet completed </w:t>
      </w:r>
      <w:r w:rsidR="00720424" w:rsidRPr="00AB35A8">
        <w:rPr>
          <w:rFonts w:asciiTheme="majorHAnsi" w:hAnsiTheme="majorHAnsi" w:cstheme="majorHAnsi"/>
          <w:color w:val="000000"/>
          <w:sz w:val="22"/>
          <w:szCs w:val="22"/>
        </w:rPr>
        <w:t>their 3 therapeutics-related</w:t>
      </w:r>
      <w:r w:rsidR="007B024A" w:rsidRPr="00AB35A8">
        <w:rPr>
          <w:rFonts w:asciiTheme="majorHAnsi" w:hAnsiTheme="majorHAnsi" w:cstheme="majorHAnsi"/>
          <w:color w:val="000000"/>
          <w:sz w:val="22"/>
          <w:szCs w:val="22"/>
        </w:rPr>
        <w:t xml:space="preserve"> elective</w:t>
      </w:r>
      <w:r w:rsidR="00720424" w:rsidRPr="00AB35A8">
        <w:rPr>
          <w:rFonts w:asciiTheme="majorHAnsi" w:hAnsiTheme="majorHAnsi" w:cstheme="majorHAnsi"/>
          <w:color w:val="000000"/>
          <w:sz w:val="22"/>
          <w:szCs w:val="22"/>
        </w:rPr>
        <w:t>s and/or a fourth elective</w:t>
      </w:r>
      <w:r w:rsidR="007B024A" w:rsidRPr="00AB35A8">
        <w:rPr>
          <w:rFonts w:asciiTheme="majorHAnsi" w:hAnsiTheme="majorHAnsi" w:cstheme="majorHAnsi"/>
          <w:color w:val="000000"/>
          <w:sz w:val="22"/>
          <w:szCs w:val="22"/>
        </w:rPr>
        <w:t xml:space="preserve">, </w:t>
      </w:r>
      <w:r w:rsidR="00A45DB8" w:rsidRPr="00AB35A8">
        <w:rPr>
          <w:rFonts w:asciiTheme="majorHAnsi" w:hAnsiTheme="majorHAnsi" w:cstheme="majorHAnsi"/>
          <w:color w:val="000000"/>
          <w:sz w:val="22"/>
          <w:szCs w:val="22"/>
        </w:rPr>
        <w:t xml:space="preserve">students also may </w:t>
      </w:r>
      <w:r w:rsidR="003F05F3" w:rsidRPr="00AB35A8">
        <w:rPr>
          <w:rFonts w:asciiTheme="majorHAnsi" w:hAnsiTheme="majorHAnsi" w:cstheme="majorHAnsi"/>
          <w:color w:val="000000"/>
          <w:sz w:val="22"/>
          <w:szCs w:val="22"/>
        </w:rPr>
        <w:t>do this</w:t>
      </w:r>
      <w:r w:rsidR="007B024A" w:rsidRPr="00AB35A8">
        <w:rPr>
          <w:rFonts w:asciiTheme="majorHAnsi" w:hAnsiTheme="majorHAnsi" w:cstheme="majorHAnsi"/>
          <w:color w:val="000000"/>
          <w:sz w:val="22"/>
          <w:szCs w:val="22"/>
        </w:rPr>
        <w:t xml:space="preserve"> after the first two years.  </w:t>
      </w:r>
      <w:r w:rsidR="00720424" w:rsidRPr="00AB35A8">
        <w:rPr>
          <w:rFonts w:asciiTheme="majorHAnsi" w:hAnsiTheme="majorHAnsi" w:cstheme="majorHAnsi"/>
          <w:color w:val="000000"/>
          <w:sz w:val="22"/>
          <w:szCs w:val="22"/>
        </w:rPr>
        <w:t>Although they may apply for more than one external fellowship, they are not required to do so, and should not sacrifice their research progress and/or course performance to do so.</w:t>
      </w:r>
      <w:r w:rsidR="00A465A6">
        <w:rPr>
          <w:rFonts w:asciiTheme="majorHAnsi" w:hAnsiTheme="majorHAnsi" w:cstheme="majorHAnsi"/>
          <w:color w:val="000000"/>
          <w:sz w:val="22"/>
          <w:szCs w:val="22"/>
        </w:rPr>
        <w:t xml:space="preserve">  Also after the first 2 years, the student will be required to present their </w:t>
      </w:r>
      <w:r w:rsidR="00A465A6">
        <w:rPr>
          <w:rFonts w:asciiTheme="majorHAnsi" w:hAnsiTheme="majorHAnsi" w:cstheme="majorHAnsi"/>
          <w:color w:val="000000"/>
          <w:sz w:val="22"/>
          <w:szCs w:val="22"/>
        </w:rPr>
        <w:lastRenderedPageBreak/>
        <w:t xml:space="preserve">research progress in a 3rd-year talk at Brown (a full-length seminar in the TSGP weekly seminar series), in at least one external scientific conference, and at the annual TSGP retreat (usually as a poster).  </w:t>
      </w:r>
    </w:p>
    <w:p w14:paraId="38431608" w14:textId="77777777" w:rsidR="0051686B" w:rsidRPr="000130A5" w:rsidRDefault="0051686B" w:rsidP="000B650A">
      <w:pPr>
        <w:jc w:val="both"/>
        <w:rPr>
          <w:rFonts w:asciiTheme="majorHAnsi" w:hAnsiTheme="majorHAnsi" w:cstheme="majorHAnsi"/>
          <w:color w:val="000000"/>
          <w:sz w:val="22"/>
          <w:szCs w:val="22"/>
        </w:rPr>
      </w:pPr>
    </w:p>
    <w:p w14:paraId="389609B3" w14:textId="77777777" w:rsidR="00C84DD5" w:rsidRPr="000130A5" w:rsidRDefault="00C84DD5" w:rsidP="000B650A">
      <w:pPr>
        <w:jc w:val="both"/>
        <w:rPr>
          <w:rFonts w:asciiTheme="majorHAnsi" w:hAnsiTheme="majorHAnsi" w:cstheme="majorHAnsi"/>
          <w:color w:val="000000"/>
          <w:sz w:val="22"/>
          <w:szCs w:val="22"/>
        </w:rPr>
      </w:pPr>
    </w:p>
    <w:p w14:paraId="18A2E47C" w14:textId="6ACE41D2" w:rsidR="001475BD" w:rsidRPr="000130A5" w:rsidRDefault="00006A13" w:rsidP="001475BD">
      <w:pPr>
        <w:jc w:val="both"/>
        <w:rPr>
          <w:rFonts w:asciiTheme="majorHAnsi" w:hAnsiTheme="majorHAnsi" w:cstheme="majorHAnsi"/>
          <w:b/>
          <w:i/>
          <w:sz w:val="22"/>
          <w:szCs w:val="22"/>
        </w:rPr>
      </w:pPr>
      <w:r w:rsidRPr="000130A5">
        <w:rPr>
          <w:rFonts w:asciiTheme="majorHAnsi" w:hAnsiTheme="majorHAnsi" w:cstheme="majorHAnsi"/>
          <w:b/>
          <w:sz w:val="22"/>
          <w:szCs w:val="22"/>
        </w:rPr>
        <w:t>V.</w:t>
      </w:r>
      <w:r w:rsidRPr="000130A5">
        <w:rPr>
          <w:rFonts w:asciiTheme="majorHAnsi" w:hAnsiTheme="majorHAnsi" w:cstheme="majorHAnsi"/>
          <w:b/>
          <w:i/>
          <w:sz w:val="22"/>
          <w:szCs w:val="22"/>
        </w:rPr>
        <w:t xml:space="preserve">  </w:t>
      </w:r>
      <w:r w:rsidR="001475BD" w:rsidRPr="000130A5">
        <w:rPr>
          <w:rFonts w:asciiTheme="majorHAnsi" w:hAnsiTheme="majorHAnsi" w:cstheme="majorHAnsi"/>
          <w:b/>
          <w:sz w:val="22"/>
          <w:szCs w:val="22"/>
        </w:rPr>
        <w:t xml:space="preserve">Dissertation </w:t>
      </w:r>
      <w:r w:rsidR="00D269EC" w:rsidRPr="000130A5">
        <w:rPr>
          <w:rFonts w:asciiTheme="majorHAnsi" w:hAnsiTheme="majorHAnsi" w:cstheme="majorHAnsi"/>
          <w:b/>
          <w:sz w:val="22"/>
          <w:szCs w:val="22"/>
        </w:rPr>
        <w:t>Research</w:t>
      </w:r>
    </w:p>
    <w:p w14:paraId="00B10667" w14:textId="77777777" w:rsidR="0051686B" w:rsidRPr="000130A5" w:rsidRDefault="0051686B" w:rsidP="001475BD">
      <w:pPr>
        <w:jc w:val="both"/>
        <w:rPr>
          <w:rFonts w:asciiTheme="majorHAnsi" w:hAnsiTheme="majorHAnsi" w:cstheme="majorHAnsi"/>
          <w:sz w:val="22"/>
          <w:szCs w:val="22"/>
        </w:rPr>
      </w:pPr>
    </w:p>
    <w:p w14:paraId="371FC344" w14:textId="168F06EE" w:rsidR="00EC04F9" w:rsidRPr="000130A5" w:rsidRDefault="00C63FCC"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r w:rsidRPr="000130A5">
        <w:rPr>
          <w:rFonts w:asciiTheme="majorHAnsi" w:hAnsiTheme="majorHAnsi" w:cstheme="majorHAnsi"/>
          <w:b/>
          <w:color w:val="000000"/>
          <w:sz w:val="22"/>
          <w:szCs w:val="22"/>
        </w:rPr>
        <w:t xml:space="preserve">V.A. </w:t>
      </w:r>
      <w:r w:rsidRPr="000130A5">
        <w:rPr>
          <w:rFonts w:asciiTheme="majorHAnsi" w:hAnsiTheme="majorHAnsi" w:cstheme="majorHAnsi"/>
          <w:bCs/>
          <w:iCs/>
          <w:color w:val="000000"/>
          <w:sz w:val="22"/>
          <w:szCs w:val="22"/>
        </w:rPr>
        <w:t xml:space="preserve"> </w:t>
      </w:r>
      <w:r w:rsidR="002849F1" w:rsidRPr="000130A5">
        <w:rPr>
          <w:rFonts w:asciiTheme="majorHAnsi" w:hAnsiTheme="majorHAnsi" w:cstheme="majorHAnsi"/>
          <w:b/>
          <w:i/>
          <w:color w:val="000000"/>
          <w:sz w:val="22"/>
          <w:szCs w:val="22"/>
          <w:u w:val="single"/>
        </w:rPr>
        <w:t xml:space="preserve">Qualifying Examination, </w:t>
      </w:r>
      <w:r w:rsidR="001475BD" w:rsidRPr="000130A5">
        <w:rPr>
          <w:rFonts w:asciiTheme="majorHAnsi" w:hAnsiTheme="majorHAnsi" w:cstheme="majorHAnsi"/>
          <w:b/>
          <w:i/>
          <w:color w:val="000000"/>
          <w:sz w:val="22"/>
          <w:szCs w:val="22"/>
          <w:u w:val="single"/>
        </w:rPr>
        <w:t xml:space="preserve">Thesis </w:t>
      </w:r>
      <w:r w:rsidR="002849F1" w:rsidRPr="000130A5">
        <w:rPr>
          <w:rFonts w:asciiTheme="majorHAnsi" w:hAnsiTheme="majorHAnsi" w:cstheme="majorHAnsi"/>
          <w:b/>
          <w:i/>
          <w:color w:val="000000"/>
          <w:sz w:val="22"/>
          <w:szCs w:val="22"/>
          <w:u w:val="single"/>
        </w:rPr>
        <w:t>Committee and Thesis Proposal</w:t>
      </w:r>
      <w:r w:rsidR="001475BD" w:rsidRPr="000130A5">
        <w:rPr>
          <w:rFonts w:asciiTheme="majorHAnsi" w:hAnsiTheme="majorHAnsi" w:cstheme="majorHAnsi"/>
          <w:b/>
          <w:i/>
          <w:color w:val="000000"/>
          <w:sz w:val="22"/>
          <w:szCs w:val="22"/>
          <w:u w:val="single"/>
        </w:rPr>
        <w:t>.</w:t>
      </w:r>
      <w:r w:rsidR="001475BD" w:rsidRPr="000130A5">
        <w:rPr>
          <w:rFonts w:asciiTheme="majorHAnsi" w:hAnsiTheme="majorHAnsi" w:cstheme="majorHAnsi"/>
          <w:bCs/>
          <w:iCs/>
          <w:color w:val="000000"/>
          <w:sz w:val="22"/>
          <w:szCs w:val="22"/>
        </w:rPr>
        <w:t xml:space="preserve"> </w:t>
      </w:r>
      <w:r w:rsidR="001475BD" w:rsidRPr="000130A5">
        <w:rPr>
          <w:rFonts w:asciiTheme="majorHAnsi" w:hAnsiTheme="majorHAnsi" w:cstheme="majorHAnsi"/>
          <w:color w:val="000000"/>
          <w:sz w:val="22"/>
          <w:szCs w:val="22"/>
        </w:rPr>
        <w:t xml:space="preserve">Upon completion of the first year of graduate study, students commit to a lab for their thesis work.  Each student works closely with </w:t>
      </w:r>
      <w:r w:rsidR="00AB35A8" w:rsidRPr="000130A5">
        <w:rPr>
          <w:rFonts w:asciiTheme="majorHAnsi" w:hAnsiTheme="majorHAnsi" w:cstheme="majorHAnsi"/>
          <w:color w:val="000000"/>
          <w:sz w:val="22"/>
          <w:szCs w:val="22"/>
        </w:rPr>
        <w:t>their</w:t>
      </w:r>
      <w:r w:rsidR="001475BD" w:rsidRPr="000130A5">
        <w:rPr>
          <w:rFonts w:asciiTheme="majorHAnsi" w:hAnsiTheme="majorHAnsi" w:cstheme="majorHAnsi"/>
          <w:color w:val="000000"/>
          <w:sz w:val="22"/>
          <w:szCs w:val="22"/>
        </w:rPr>
        <w:t xml:space="preserve"> Thesis Advisor to develop a research proposal that will culminate in the </w:t>
      </w:r>
      <w:r w:rsidR="001475BD" w:rsidRPr="000130A5">
        <w:rPr>
          <w:rFonts w:asciiTheme="majorHAnsi" w:hAnsiTheme="majorHAnsi" w:cstheme="majorHAnsi"/>
          <w:b/>
          <w:i/>
          <w:color w:val="000000"/>
          <w:sz w:val="22"/>
          <w:szCs w:val="22"/>
        </w:rPr>
        <w:t>Qualifying Examination</w:t>
      </w:r>
      <w:r w:rsidR="00B50FA7" w:rsidRPr="000130A5">
        <w:rPr>
          <w:rFonts w:asciiTheme="majorHAnsi" w:hAnsiTheme="majorHAnsi" w:cstheme="majorHAnsi"/>
          <w:b/>
          <w:i/>
          <w:color w:val="000000"/>
          <w:sz w:val="22"/>
          <w:szCs w:val="22"/>
        </w:rPr>
        <w:t xml:space="preserve"> ("Preliminary Exam")</w:t>
      </w:r>
      <w:r w:rsidR="001475BD" w:rsidRPr="000130A5">
        <w:rPr>
          <w:rFonts w:asciiTheme="majorHAnsi" w:hAnsiTheme="majorHAnsi" w:cstheme="majorHAnsi"/>
          <w:color w:val="000000"/>
          <w:sz w:val="22"/>
          <w:szCs w:val="22"/>
        </w:rPr>
        <w:t xml:space="preserve"> by the end of the student’s 4</w:t>
      </w:r>
      <w:r w:rsidR="001475BD" w:rsidRPr="000130A5">
        <w:rPr>
          <w:rFonts w:asciiTheme="majorHAnsi" w:hAnsiTheme="majorHAnsi" w:cstheme="majorHAnsi"/>
          <w:color w:val="000000"/>
          <w:sz w:val="22"/>
          <w:szCs w:val="22"/>
          <w:vertAlign w:val="superscript"/>
        </w:rPr>
        <w:t>th</w:t>
      </w:r>
      <w:r w:rsidR="001475BD" w:rsidRPr="000130A5">
        <w:rPr>
          <w:rFonts w:asciiTheme="majorHAnsi" w:hAnsiTheme="majorHAnsi" w:cstheme="majorHAnsi"/>
          <w:color w:val="000000"/>
          <w:sz w:val="22"/>
          <w:szCs w:val="22"/>
        </w:rPr>
        <w:t xml:space="preserve"> semester of graduate study. </w:t>
      </w:r>
      <w:r w:rsidR="00350860" w:rsidRPr="000130A5">
        <w:rPr>
          <w:rFonts w:asciiTheme="majorHAnsi" w:hAnsiTheme="majorHAnsi" w:cstheme="majorHAnsi"/>
          <w:color w:val="000000"/>
          <w:sz w:val="22"/>
          <w:szCs w:val="22"/>
        </w:rPr>
        <w:t xml:space="preserve"> </w:t>
      </w:r>
      <w:r w:rsidR="001475BD" w:rsidRPr="000130A5">
        <w:rPr>
          <w:rFonts w:asciiTheme="majorHAnsi" w:hAnsiTheme="majorHAnsi" w:cstheme="majorHAnsi"/>
          <w:color w:val="000000"/>
          <w:sz w:val="22"/>
          <w:szCs w:val="22"/>
        </w:rPr>
        <w:t xml:space="preserve">At that point, the student and advisor will have selected a </w:t>
      </w:r>
      <w:r w:rsidR="001475BD" w:rsidRPr="000130A5">
        <w:rPr>
          <w:rFonts w:asciiTheme="majorHAnsi" w:hAnsiTheme="majorHAnsi" w:cstheme="majorHAnsi"/>
          <w:b/>
          <w:i/>
          <w:color w:val="000000"/>
          <w:sz w:val="22"/>
          <w:szCs w:val="22"/>
        </w:rPr>
        <w:t>Thesis Committee</w:t>
      </w:r>
      <w:r w:rsidR="001475BD" w:rsidRPr="000130A5">
        <w:rPr>
          <w:rFonts w:asciiTheme="majorHAnsi" w:hAnsiTheme="majorHAnsi" w:cstheme="majorHAnsi"/>
          <w:color w:val="000000"/>
          <w:sz w:val="22"/>
          <w:szCs w:val="22"/>
        </w:rPr>
        <w:t xml:space="preserve">, which consists of </w:t>
      </w:r>
      <w:r w:rsidR="001475BD" w:rsidRPr="000130A5">
        <w:rPr>
          <w:rFonts w:asciiTheme="majorHAnsi" w:hAnsiTheme="majorHAnsi" w:cstheme="majorHAnsi"/>
          <w:sz w:val="22"/>
          <w:szCs w:val="22"/>
        </w:rPr>
        <w:t>the Thesis Advisor, three other members of the Brown Faculty</w:t>
      </w:r>
      <w:r w:rsidR="00C07512" w:rsidRPr="000130A5">
        <w:rPr>
          <w:rFonts w:asciiTheme="majorHAnsi" w:hAnsiTheme="majorHAnsi" w:cstheme="majorHAnsi"/>
          <w:sz w:val="22"/>
          <w:szCs w:val="22"/>
        </w:rPr>
        <w:t xml:space="preserve"> (which may include hospital-based faculty with a Brown affiliation)</w:t>
      </w:r>
      <w:r w:rsidR="001475BD" w:rsidRPr="000130A5">
        <w:rPr>
          <w:rFonts w:asciiTheme="majorHAnsi" w:hAnsiTheme="majorHAnsi" w:cstheme="majorHAnsi"/>
          <w:sz w:val="22"/>
          <w:szCs w:val="22"/>
        </w:rPr>
        <w:t xml:space="preserve">, and an authority in the area of the thesis research from another institution. </w:t>
      </w:r>
      <w:r w:rsidR="001B548D" w:rsidRPr="000130A5">
        <w:rPr>
          <w:rFonts w:asciiTheme="majorHAnsi" w:hAnsiTheme="majorHAnsi" w:cstheme="majorHAnsi"/>
          <w:sz w:val="22"/>
          <w:szCs w:val="22"/>
        </w:rPr>
        <w:t xml:space="preserve"> </w:t>
      </w:r>
      <w:r w:rsidR="00E97C86" w:rsidRPr="000130A5">
        <w:rPr>
          <w:rFonts w:asciiTheme="majorHAnsi" w:hAnsiTheme="majorHAnsi" w:cstheme="majorHAnsi"/>
          <w:sz w:val="22"/>
          <w:szCs w:val="22"/>
        </w:rPr>
        <w:t>Often the outside member of the thesis committee is not brought in until after the preliminary exam</w:t>
      </w:r>
      <w:r w:rsidR="00AB35A8" w:rsidRPr="000130A5">
        <w:rPr>
          <w:rFonts w:asciiTheme="majorHAnsi" w:hAnsiTheme="majorHAnsi" w:cstheme="majorHAnsi"/>
          <w:sz w:val="22"/>
          <w:szCs w:val="22"/>
        </w:rPr>
        <w:t xml:space="preserve">. </w:t>
      </w:r>
      <w:r w:rsidR="00E97C86" w:rsidRPr="000130A5">
        <w:rPr>
          <w:rFonts w:asciiTheme="majorHAnsi" w:hAnsiTheme="majorHAnsi" w:cstheme="majorHAnsi"/>
          <w:sz w:val="22"/>
          <w:szCs w:val="22"/>
        </w:rPr>
        <w:t xml:space="preserve"> </w:t>
      </w:r>
      <w:r w:rsidR="00AB35A8" w:rsidRPr="000130A5">
        <w:rPr>
          <w:rFonts w:asciiTheme="majorHAnsi" w:hAnsiTheme="majorHAnsi" w:cstheme="majorHAnsi"/>
          <w:sz w:val="22"/>
          <w:szCs w:val="22"/>
        </w:rPr>
        <w:t>H</w:t>
      </w:r>
      <w:r w:rsidR="00E97C86" w:rsidRPr="000130A5">
        <w:rPr>
          <w:rFonts w:asciiTheme="majorHAnsi" w:hAnsiTheme="majorHAnsi" w:cstheme="majorHAnsi"/>
          <w:sz w:val="22"/>
          <w:szCs w:val="22"/>
        </w:rPr>
        <w:t xml:space="preserve">owever, </w:t>
      </w:r>
      <w:r w:rsidR="00AB35A8" w:rsidRPr="000130A5">
        <w:rPr>
          <w:rFonts w:asciiTheme="majorHAnsi" w:hAnsiTheme="majorHAnsi" w:cstheme="majorHAnsi"/>
          <w:sz w:val="22"/>
          <w:szCs w:val="22"/>
        </w:rPr>
        <w:t xml:space="preserve">even if the external member does not attend meetings except for the defense, </w:t>
      </w:r>
      <w:r w:rsidR="00E97C86" w:rsidRPr="000130A5">
        <w:rPr>
          <w:rFonts w:asciiTheme="majorHAnsi" w:hAnsiTheme="majorHAnsi" w:cstheme="majorHAnsi"/>
          <w:sz w:val="22"/>
          <w:szCs w:val="22"/>
        </w:rPr>
        <w:t xml:space="preserve">it is prudent to at least obtain </w:t>
      </w:r>
      <w:r w:rsidR="00AB35A8" w:rsidRPr="000130A5">
        <w:rPr>
          <w:rFonts w:asciiTheme="majorHAnsi" w:hAnsiTheme="majorHAnsi" w:cstheme="majorHAnsi"/>
          <w:sz w:val="22"/>
          <w:szCs w:val="22"/>
        </w:rPr>
        <w:t xml:space="preserve">their </w:t>
      </w:r>
      <w:r w:rsidR="00E97C86" w:rsidRPr="000130A5">
        <w:rPr>
          <w:rFonts w:asciiTheme="majorHAnsi" w:hAnsiTheme="majorHAnsi" w:cstheme="majorHAnsi"/>
          <w:sz w:val="22"/>
          <w:szCs w:val="22"/>
        </w:rPr>
        <w:t xml:space="preserve">input on the thesis proposal, and to provide progress reports and notices of any proposed changes in the research plan as the student proceeds with thesis research.  If the outside member is not included until just before the defense, as </w:t>
      </w:r>
      <w:r w:rsidR="00C07512" w:rsidRPr="000130A5">
        <w:rPr>
          <w:rFonts w:asciiTheme="majorHAnsi" w:hAnsiTheme="majorHAnsi" w:cstheme="majorHAnsi"/>
          <w:sz w:val="22"/>
          <w:szCs w:val="22"/>
        </w:rPr>
        <w:t>has often occurred</w:t>
      </w:r>
      <w:r w:rsidR="00E97C86" w:rsidRPr="000130A5">
        <w:rPr>
          <w:rFonts w:asciiTheme="majorHAnsi" w:hAnsiTheme="majorHAnsi" w:cstheme="majorHAnsi"/>
          <w:sz w:val="22"/>
          <w:szCs w:val="22"/>
        </w:rPr>
        <w:t xml:space="preserve">, the student and advisor risk being surprised by major criticisms that delay the student's completion of the PhD.  </w:t>
      </w:r>
      <w:r w:rsidR="00EC04F9" w:rsidRPr="000130A5">
        <w:rPr>
          <w:rFonts w:asciiTheme="majorHAnsi" w:hAnsiTheme="majorHAnsi" w:cstheme="majorHAnsi"/>
          <w:sz w:val="22"/>
          <w:szCs w:val="22"/>
        </w:rPr>
        <w:t>A member of the Thesis Committee will serve as Chair; this person cannot be the Thesis Advisor</w:t>
      </w:r>
      <w:r w:rsidR="002849F1" w:rsidRPr="000130A5">
        <w:rPr>
          <w:rFonts w:asciiTheme="majorHAnsi" w:hAnsiTheme="majorHAnsi" w:cstheme="majorHAnsi"/>
          <w:sz w:val="22"/>
          <w:szCs w:val="22"/>
        </w:rPr>
        <w:t xml:space="preserve"> or the external member</w:t>
      </w:r>
      <w:r w:rsidR="00EC04F9" w:rsidRPr="000130A5">
        <w:rPr>
          <w:rFonts w:asciiTheme="majorHAnsi" w:hAnsiTheme="majorHAnsi" w:cstheme="majorHAnsi"/>
          <w:sz w:val="22"/>
          <w:szCs w:val="22"/>
        </w:rPr>
        <w:t xml:space="preserve">, and </w:t>
      </w:r>
      <w:r w:rsidR="001B548D" w:rsidRPr="000130A5">
        <w:rPr>
          <w:rFonts w:asciiTheme="majorHAnsi" w:hAnsiTheme="majorHAnsi" w:cstheme="majorHAnsi"/>
          <w:sz w:val="22"/>
          <w:szCs w:val="22"/>
        </w:rPr>
        <w:t>must</w:t>
      </w:r>
      <w:r w:rsidR="00EC04F9" w:rsidRPr="000130A5">
        <w:rPr>
          <w:rFonts w:asciiTheme="majorHAnsi" w:hAnsiTheme="majorHAnsi" w:cstheme="majorHAnsi"/>
          <w:sz w:val="22"/>
          <w:szCs w:val="22"/>
        </w:rPr>
        <w:t xml:space="preserve"> be</w:t>
      </w:r>
      <w:r w:rsidR="002849F1" w:rsidRPr="000130A5">
        <w:rPr>
          <w:rFonts w:asciiTheme="majorHAnsi" w:hAnsiTheme="majorHAnsi" w:cstheme="majorHAnsi"/>
          <w:sz w:val="22"/>
          <w:szCs w:val="22"/>
        </w:rPr>
        <w:t xml:space="preserve"> someone who has prior experience</w:t>
      </w:r>
      <w:r w:rsidR="001B548D" w:rsidRPr="000130A5">
        <w:rPr>
          <w:rFonts w:asciiTheme="majorHAnsi" w:hAnsiTheme="majorHAnsi" w:cstheme="majorHAnsi"/>
          <w:sz w:val="22"/>
          <w:szCs w:val="22"/>
        </w:rPr>
        <w:t xml:space="preserve"> training </w:t>
      </w:r>
      <w:r w:rsidR="00AB35A8" w:rsidRPr="000130A5">
        <w:rPr>
          <w:rFonts w:asciiTheme="majorHAnsi" w:hAnsiTheme="majorHAnsi" w:cstheme="majorHAnsi"/>
          <w:sz w:val="22"/>
          <w:szCs w:val="22"/>
        </w:rPr>
        <w:t xml:space="preserve">TSGP </w:t>
      </w:r>
      <w:r w:rsidR="00FD7A5A" w:rsidRPr="000130A5">
        <w:rPr>
          <w:rFonts w:asciiTheme="majorHAnsi" w:hAnsiTheme="majorHAnsi" w:cstheme="majorHAnsi"/>
          <w:sz w:val="22"/>
          <w:szCs w:val="22"/>
        </w:rPr>
        <w:t>PhD</w:t>
      </w:r>
      <w:r w:rsidR="001B548D" w:rsidRPr="000130A5">
        <w:rPr>
          <w:rFonts w:asciiTheme="majorHAnsi" w:hAnsiTheme="majorHAnsi" w:cstheme="majorHAnsi"/>
          <w:sz w:val="22"/>
          <w:szCs w:val="22"/>
        </w:rPr>
        <w:t xml:space="preserve"> students</w:t>
      </w:r>
      <w:r w:rsidR="00AB35A8" w:rsidRPr="000130A5">
        <w:rPr>
          <w:rFonts w:asciiTheme="majorHAnsi" w:hAnsiTheme="majorHAnsi" w:cstheme="majorHAnsi"/>
          <w:sz w:val="22"/>
          <w:szCs w:val="22"/>
        </w:rPr>
        <w:t xml:space="preserve"> (or students from the parent program, MPP)</w:t>
      </w:r>
      <w:r w:rsidR="001B548D" w:rsidRPr="000130A5">
        <w:rPr>
          <w:rFonts w:asciiTheme="majorHAnsi" w:hAnsiTheme="majorHAnsi" w:cstheme="majorHAnsi"/>
          <w:sz w:val="22"/>
          <w:szCs w:val="22"/>
        </w:rPr>
        <w:t xml:space="preserve"> and/or serving</w:t>
      </w:r>
      <w:r w:rsidR="002849F1" w:rsidRPr="000130A5">
        <w:rPr>
          <w:rFonts w:asciiTheme="majorHAnsi" w:hAnsiTheme="majorHAnsi" w:cstheme="majorHAnsi"/>
          <w:sz w:val="22"/>
          <w:szCs w:val="22"/>
        </w:rPr>
        <w:t xml:space="preserve"> on Thesis Committees</w:t>
      </w:r>
      <w:r w:rsidR="00AB35A8" w:rsidRPr="000130A5">
        <w:rPr>
          <w:rFonts w:asciiTheme="majorHAnsi" w:hAnsiTheme="majorHAnsi" w:cstheme="majorHAnsi"/>
          <w:sz w:val="22"/>
          <w:szCs w:val="22"/>
        </w:rPr>
        <w:t xml:space="preserve"> of such students</w:t>
      </w:r>
      <w:r w:rsidR="002849F1" w:rsidRPr="000130A5">
        <w:rPr>
          <w:rFonts w:asciiTheme="majorHAnsi" w:hAnsiTheme="majorHAnsi" w:cstheme="majorHAnsi"/>
          <w:sz w:val="22"/>
          <w:szCs w:val="22"/>
        </w:rPr>
        <w:t xml:space="preserve">.  </w:t>
      </w:r>
      <w:r w:rsidR="001B548D" w:rsidRPr="000130A5">
        <w:rPr>
          <w:rFonts w:asciiTheme="majorHAnsi" w:hAnsiTheme="majorHAnsi" w:cstheme="majorHAnsi"/>
          <w:sz w:val="22"/>
          <w:szCs w:val="22"/>
        </w:rPr>
        <w:t xml:space="preserve">Students </w:t>
      </w:r>
      <w:r w:rsidR="00DB349C" w:rsidRPr="000130A5">
        <w:rPr>
          <w:rFonts w:asciiTheme="majorHAnsi" w:hAnsiTheme="majorHAnsi" w:cstheme="majorHAnsi"/>
          <w:sz w:val="22"/>
          <w:szCs w:val="22"/>
        </w:rPr>
        <w:t xml:space="preserve">are required to discuss the proposed </w:t>
      </w:r>
      <w:r w:rsidR="00A56AB8" w:rsidRPr="000130A5">
        <w:rPr>
          <w:rFonts w:asciiTheme="majorHAnsi" w:hAnsiTheme="majorHAnsi" w:cstheme="majorHAnsi"/>
          <w:sz w:val="22"/>
          <w:szCs w:val="22"/>
        </w:rPr>
        <w:t>T</w:t>
      </w:r>
      <w:r w:rsidR="00DB349C" w:rsidRPr="000130A5">
        <w:rPr>
          <w:rFonts w:asciiTheme="majorHAnsi" w:hAnsiTheme="majorHAnsi" w:cstheme="majorHAnsi"/>
          <w:sz w:val="22"/>
          <w:szCs w:val="22"/>
        </w:rPr>
        <w:t xml:space="preserve">hesis </w:t>
      </w:r>
      <w:r w:rsidR="00A56AB8" w:rsidRPr="000130A5">
        <w:rPr>
          <w:rFonts w:asciiTheme="majorHAnsi" w:hAnsiTheme="majorHAnsi" w:cstheme="majorHAnsi"/>
          <w:sz w:val="22"/>
          <w:szCs w:val="22"/>
        </w:rPr>
        <w:t>C</w:t>
      </w:r>
      <w:r w:rsidR="00DB349C" w:rsidRPr="000130A5">
        <w:rPr>
          <w:rFonts w:asciiTheme="majorHAnsi" w:hAnsiTheme="majorHAnsi" w:cstheme="majorHAnsi"/>
          <w:sz w:val="22"/>
          <w:szCs w:val="22"/>
        </w:rPr>
        <w:t>ommittee composition</w:t>
      </w:r>
      <w:r w:rsidR="001B548D" w:rsidRPr="000130A5">
        <w:rPr>
          <w:rFonts w:asciiTheme="majorHAnsi" w:hAnsiTheme="majorHAnsi" w:cstheme="majorHAnsi"/>
          <w:sz w:val="22"/>
          <w:szCs w:val="22"/>
        </w:rPr>
        <w:t xml:space="preserve"> with the Program Director</w:t>
      </w:r>
      <w:r w:rsidR="00DB349C" w:rsidRPr="000130A5">
        <w:rPr>
          <w:rFonts w:asciiTheme="majorHAnsi" w:hAnsiTheme="majorHAnsi" w:cstheme="majorHAnsi"/>
          <w:sz w:val="22"/>
          <w:szCs w:val="22"/>
        </w:rPr>
        <w:t xml:space="preserve"> before finalization</w:t>
      </w:r>
      <w:r w:rsidR="001B548D" w:rsidRPr="000130A5">
        <w:rPr>
          <w:rFonts w:asciiTheme="majorHAnsi" w:hAnsiTheme="majorHAnsi" w:cstheme="majorHAnsi"/>
          <w:sz w:val="22"/>
          <w:szCs w:val="22"/>
        </w:rPr>
        <w:t>.</w:t>
      </w:r>
    </w:p>
    <w:p w14:paraId="11CFF21E" w14:textId="77777777" w:rsidR="00EC04F9" w:rsidRPr="00AC4CBB" w:rsidRDefault="00EC04F9"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p w14:paraId="2C71BDD3" w14:textId="71F0D5DF" w:rsidR="001C63CE" w:rsidRDefault="001C63CE" w:rsidP="001C63CE">
      <w:pPr>
        <w:jc w:val="both"/>
        <w:rPr>
          <w:rFonts w:asciiTheme="majorHAnsi" w:hAnsiTheme="majorHAnsi" w:cstheme="majorHAnsi"/>
          <w:color w:val="000000"/>
          <w:sz w:val="22"/>
          <w:szCs w:val="22"/>
        </w:rPr>
      </w:pPr>
      <w:r w:rsidRPr="00AC4CBB">
        <w:rPr>
          <w:rFonts w:asciiTheme="majorHAnsi" w:hAnsiTheme="majorHAnsi" w:cstheme="majorHAnsi"/>
          <w:b/>
          <w:i/>
          <w:color w:val="000000"/>
          <w:sz w:val="22"/>
          <w:szCs w:val="22"/>
          <w:u w:val="single"/>
        </w:rPr>
        <w:t>Thesis Proposal</w:t>
      </w:r>
      <w:r w:rsidRPr="00AC4CBB">
        <w:rPr>
          <w:rFonts w:asciiTheme="majorHAnsi" w:hAnsiTheme="majorHAnsi" w:cstheme="majorHAnsi"/>
          <w:color w:val="000000"/>
          <w:sz w:val="22"/>
          <w:szCs w:val="22"/>
        </w:rPr>
        <w:t xml:space="preserve">.  </w:t>
      </w:r>
      <w:r w:rsidR="001475BD" w:rsidRPr="00AC4CBB">
        <w:rPr>
          <w:rFonts w:asciiTheme="majorHAnsi" w:hAnsiTheme="majorHAnsi" w:cstheme="majorHAnsi"/>
          <w:color w:val="000000"/>
          <w:sz w:val="22"/>
          <w:szCs w:val="22"/>
        </w:rPr>
        <w:t xml:space="preserve">In preparation for the Qualifying Exam, the student will </w:t>
      </w:r>
      <w:r w:rsidRPr="00AC4CBB">
        <w:rPr>
          <w:rFonts w:asciiTheme="majorHAnsi" w:hAnsiTheme="majorHAnsi" w:cstheme="majorHAnsi"/>
          <w:color w:val="000000"/>
          <w:sz w:val="22"/>
          <w:szCs w:val="22"/>
        </w:rPr>
        <w:t>develop</w:t>
      </w:r>
      <w:r w:rsidR="001475BD" w:rsidRPr="00AC4CBB">
        <w:rPr>
          <w:rFonts w:asciiTheme="majorHAnsi" w:hAnsiTheme="majorHAnsi" w:cstheme="majorHAnsi"/>
          <w:color w:val="000000"/>
          <w:sz w:val="22"/>
          <w:szCs w:val="22"/>
        </w:rPr>
        <w:t xml:space="preserve"> and </w:t>
      </w:r>
      <w:r w:rsidRPr="00AC4CBB">
        <w:rPr>
          <w:rFonts w:asciiTheme="majorHAnsi" w:hAnsiTheme="majorHAnsi" w:cstheme="majorHAnsi"/>
          <w:color w:val="000000"/>
          <w:sz w:val="22"/>
          <w:szCs w:val="22"/>
        </w:rPr>
        <w:t>write</w:t>
      </w:r>
      <w:r w:rsidR="001475BD" w:rsidRPr="00AC4CBB">
        <w:rPr>
          <w:rFonts w:asciiTheme="majorHAnsi" w:hAnsiTheme="majorHAnsi" w:cstheme="majorHAnsi"/>
          <w:color w:val="000000"/>
          <w:sz w:val="22"/>
          <w:szCs w:val="22"/>
        </w:rPr>
        <w:t xml:space="preserve"> a formal </w:t>
      </w:r>
      <w:r w:rsidR="00B50FA7" w:rsidRPr="00AC4CBB">
        <w:rPr>
          <w:rFonts w:asciiTheme="majorHAnsi" w:hAnsiTheme="majorHAnsi" w:cstheme="majorHAnsi"/>
          <w:color w:val="000000"/>
          <w:sz w:val="22"/>
          <w:szCs w:val="22"/>
        </w:rPr>
        <w:t>Thesis</w:t>
      </w:r>
      <w:r w:rsidR="001475BD" w:rsidRPr="00AC4CBB">
        <w:rPr>
          <w:rFonts w:asciiTheme="majorHAnsi" w:hAnsiTheme="majorHAnsi" w:cstheme="majorHAnsi"/>
          <w:color w:val="000000"/>
          <w:sz w:val="22"/>
          <w:szCs w:val="22"/>
        </w:rPr>
        <w:t xml:space="preserve"> </w:t>
      </w:r>
      <w:r w:rsidR="00B50FA7" w:rsidRPr="00AC4CBB">
        <w:rPr>
          <w:rFonts w:asciiTheme="majorHAnsi" w:hAnsiTheme="majorHAnsi" w:cstheme="majorHAnsi"/>
          <w:color w:val="000000"/>
          <w:sz w:val="22"/>
          <w:szCs w:val="22"/>
        </w:rPr>
        <w:t>P</w:t>
      </w:r>
      <w:r w:rsidR="001475BD" w:rsidRPr="00AC4CBB">
        <w:rPr>
          <w:rFonts w:asciiTheme="majorHAnsi" w:hAnsiTheme="majorHAnsi" w:cstheme="majorHAnsi"/>
          <w:color w:val="000000"/>
          <w:sz w:val="22"/>
          <w:szCs w:val="22"/>
        </w:rPr>
        <w:t xml:space="preserve">roposal in close collaboration with </w:t>
      </w:r>
      <w:r w:rsidR="00A56AB8" w:rsidRPr="00AC4CBB">
        <w:rPr>
          <w:rFonts w:asciiTheme="majorHAnsi" w:hAnsiTheme="majorHAnsi" w:cstheme="majorHAnsi"/>
          <w:color w:val="000000"/>
          <w:sz w:val="22"/>
          <w:szCs w:val="22"/>
        </w:rPr>
        <w:t>the</w:t>
      </w:r>
      <w:r w:rsidR="001475BD" w:rsidRPr="00AC4CBB">
        <w:rPr>
          <w:rFonts w:asciiTheme="majorHAnsi" w:hAnsiTheme="majorHAnsi" w:cstheme="majorHAnsi"/>
          <w:color w:val="000000"/>
          <w:sz w:val="22"/>
          <w:szCs w:val="22"/>
        </w:rPr>
        <w:t xml:space="preserve"> </w:t>
      </w:r>
      <w:r w:rsidR="00D67852" w:rsidRPr="00AC4CBB">
        <w:rPr>
          <w:rFonts w:asciiTheme="majorHAnsi" w:hAnsiTheme="majorHAnsi" w:cstheme="majorHAnsi"/>
          <w:color w:val="000000"/>
          <w:sz w:val="22"/>
          <w:szCs w:val="22"/>
        </w:rPr>
        <w:t>Thesis Advisor</w:t>
      </w:r>
      <w:r w:rsidR="001475BD" w:rsidRPr="00AC4CBB">
        <w:rPr>
          <w:rFonts w:asciiTheme="majorHAnsi" w:hAnsiTheme="majorHAnsi" w:cstheme="majorHAnsi"/>
          <w:color w:val="000000"/>
          <w:sz w:val="22"/>
          <w:szCs w:val="22"/>
        </w:rPr>
        <w:t xml:space="preserve">. </w:t>
      </w:r>
      <w:r w:rsidRPr="00AC4CBB">
        <w:rPr>
          <w:rFonts w:asciiTheme="majorHAnsi" w:hAnsiTheme="majorHAnsi" w:cstheme="majorHAnsi"/>
          <w:color w:val="000000"/>
          <w:sz w:val="22"/>
          <w:szCs w:val="22"/>
        </w:rPr>
        <w:t xml:space="preserve"> The thesis proposal should be </w:t>
      </w:r>
      <w:r w:rsidR="0059171D" w:rsidRPr="00AC4CBB">
        <w:rPr>
          <w:rFonts w:asciiTheme="majorHAnsi" w:hAnsiTheme="majorHAnsi" w:cstheme="majorHAnsi"/>
          <w:color w:val="000000"/>
          <w:sz w:val="22"/>
          <w:szCs w:val="22"/>
        </w:rPr>
        <w:t>approximately</w:t>
      </w:r>
      <w:r w:rsidRPr="00AC4CBB">
        <w:rPr>
          <w:rFonts w:asciiTheme="majorHAnsi" w:hAnsiTheme="majorHAnsi" w:cstheme="majorHAnsi"/>
          <w:color w:val="000000"/>
          <w:sz w:val="22"/>
          <w:szCs w:val="22"/>
        </w:rPr>
        <w:t xml:space="preserve"> 10 single-spaced pages in length</w:t>
      </w:r>
      <w:r w:rsidR="00A00477" w:rsidRPr="00AC4CBB">
        <w:rPr>
          <w:rFonts w:asciiTheme="majorHAnsi" w:hAnsiTheme="majorHAnsi" w:cstheme="majorHAnsi"/>
          <w:color w:val="000000"/>
          <w:sz w:val="22"/>
          <w:szCs w:val="22"/>
        </w:rPr>
        <w:t>, including figures and tables</w:t>
      </w:r>
      <w:r w:rsidR="0059171D" w:rsidRPr="00AC4CBB">
        <w:rPr>
          <w:rFonts w:asciiTheme="majorHAnsi" w:hAnsiTheme="majorHAnsi" w:cstheme="majorHAnsi"/>
          <w:color w:val="000000"/>
          <w:sz w:val="22"/>
          <w:szCs w:val="22"/>
        </w:rPr>
        <w:t xml:space="preserve"> (bibliography </w:t>
      </w:r>
      <w:r w:rsidR="000130A5" w:rsidRPr="00AC4CBB">
        <w:rPr>
          <w:rFonts w:asciiTheme="majorHAnsi" w:hAnsiTheme="majorHAnsi" w:cstheme="majorHAnsi"/>
          <w:color w:val="000000"/>
          <w:sz w:val="22"/>
          <w:szCs w:val="22"/>
        </w:rPr>
        <w:t>is not included in the 10 page limit</w:t>
      </w:r>
      <w:r w:rsidR="0059171D" w:rsidRPr="00AC4CBB">
        <w:rPr>
          <w:rFonts w:asciiTheme="majorHAnsi" w:hAnsiTheme="majorHAnsi" w:cstheme="majorHAnsi"/>
          <w:color w:val="000000"/>
          <w:sz w:val="22"/>
          <w:szCs w:val="22"/>
        </w:rPr>
        <w:t>)</w:t>
      </w:r>
      <w:r w:rsidRPr="00AC4CBB">
        <w:rPr>
          <w:rFonts w:asciiTheme="majorHAnsi" w:hAnsiTheme="majorHAnsi" w:cstheme="majorHAnsi"/>
          <w:color w:val="000000"/>
          <w:sz w:val="22"/>
          <w:szCs w:val="22"/>
        </w:rPr>
        <w:t xml:space="preserve">.  This document will be written in the style of an NIH predoctoral research grant proposal, including </w:t>
      </w:r>
      <w:r w:rsidR="00C80A25" w:rsidRPr="00AC4CBB">
        <w:rPr>
          <w:rFonts w:asciiTheme="majorHAnsi" w:hAnsiTheme="majorHAnsi" w:cstheme="majorHAnsi"/>
          <w:color w:val="000000"/>
          <w:sz w:val="22"/>
          <w:szCs w:val="22"/>
        </w:rPr>
        <w:t xml:space="preserve">an abstract and </w:t>
      </w:r>
      <w:r w:rsidRPr="00AC4CBB">
        <w:rPr>
          <w:rFonts w:asciiTheme="majorHAnsi" w:hAnsiTheme="majorHAnsi" w:cstheme="majorHAnsi"/>
          <w:color w:val="000000"/>
          <w:sz w:val="22"/>
          <w:szCs w:val="22"/>
        </w:rPr>
        <w:t xml:space="preserve">sections on specific aims, </w:t>
      </w:r>
      <w:r w:rsidR="00937A57" w:rsidRPr="00AC4CBB">
        <w:rPr>
          <w:rFonts w:asciiTheme="majorHAnsi" w:hAnsiTheme="majorHAnsi" w:cstheme="majorHAnsi"/>
          <w:color w:val="000000"/>
          <w:sz w:val="22"/>
          <w:szCs w:val="22"/>
        </w:rPr>
        <w:t xml:space="preserve">background and </w:t>
      </w:r>
      <w:r w:rsidRPr="00AC4CBB">
        <w:rPr>
          <w:rFonts w:asciiTheme="majorHAnsi" w:hAnsiTheme="majorHAnsi" w:cstheme="majorHAnsi"/>
          <w:color w:val="000000"/>
          <w:sz w:val="22"/>
          <w:szCs w:val="22"/>
        </w:rPr>
        <w:t xml:space="preserve">significance, proposed methods and experimental approaches, interpretation of expected results, </w:t>
      </w:r>
      <w:r w:rsidR="00937A57" w:rsidRPr="00AC4CBB">
        <w:rPr>
          <w:rFonts w:asciiTheme="majorHAnsi" w:hAnsiTheme="majorHAnsi" w:cstheme="majorHAnsi"/>
          <w:color w:val="000000"/>
          <w:sz w:val="22"/>
          <w:szCs w:val="22"/>
        </w:rPr>
        <w:t xml:space="preserve">pitfalls and alternative approaches, </w:t>
      </w:r>
      <w:r w:rsidRPr="00AC4CBB">
        <w:rPr>
          <w:rFonts w:asciiTheme="majorHAnsi" w:hAnsiTheme="majorHAnsi" w:cstheme="majorHAnsi"/>
          <w:color w:val="000000"/>
          <w:sz w:val="22"/>
          <w:szCs w:val="22"/>
        </w:rPr>
        <w:t xml:space="preserve">preliminary </w:t>
      </w:r>
      <w:r w:rsidR="00937A57" w:rsidRPr="00AC4CBB">
        <w:rPr>
          <w:rFonts w:asciiTheme="majorHAnsi" w:hAnsiTheme="majorHAnsi" w:cstheme="majorHAnsi"/>
          <w:color w:val="000000"/>
          <w:sz w:val="22"/>
          <w:szCs w:val="22"/>
        </w:rPr>
        <w:t>data</w:t>
      </w:r>
      <w:r w:rsidR="00A00477" w:rsidRPr="00AC4CBB">
        <w:rPr>
          <w:rFonts w:asciiTheme="majorHAnsi" w:hAnsiTheme="majorHAnsi" w:cstheme="majorHAnsi"/>
          <w:color w:val="000000"/>
          <w:sz w:val="22"/>
          <w:szCs w:val="22"/>
        </w:rPr>
        <w:t>, and bibliography</w:t>
      </w:r>
      <w:r w:rsidRPr="00AC4CBB">
        <w:rPr>
          <w:rFonts w:asciiTheme="majorHAnsi" w:hAnsiTheme="majorHAnsi" w:cstheme="majorHAnsi"/>
          <w:color w:val="000000"/>
          <w:sz w:val="22"/>
          <w:szCs w:val="22"/>
        </w:rPr>
        <w:t xml:space="preserve">.  A final draft of the thesis proposal shall be provided to all Thesis Committee members at least two weeks prior to the date of the oral examination.  </w:t>
      </w:r>
      <w:r w:rsidRPr="00AC4CBB">
        <w:rPr>
          <w:rFonts w:asciiTheme="majorHAnsi" w:hAnsiTheme="majorHAnsi" w:cstheme="majorHAnsi"/>
          <w:color w:val="000000"/>
          <w:sz w:val="22"/>
          <w:szCs w:val="22"/>
          <w:u w:val="single"/>
        </w:rPr>
        <w:t xml:space="preserve">The proposal is to be developed </w:t>
      </w:r>
      <w:r w:rsidR="000130A5" w:rsidRPr="00AC4CBB">
        <w:rPr>
          <w:rFonts w:asciiTheme="majorHAnsi" w:hAnsiTheme="majorHAnsi" w:cstheme="majorHAnsi"/>
          <w:color w:val="000000"/>
          <w:sz w:val="22"/>
          <w:szCs w:val="22"/>
          <w:u w:val="single"/>
        </w:rPr>
        <w:t xml:space="preserve">and written </w:t>
      </w:r>
      <w:r w:rsidRPr="00AC4CBB">
        <w:rPr>
          <w:rFonts w:asciiTheme="majorHAnsi" w:hAnsiTheme="majorHAnsi" w:cstheme="majorHAnsi"/>
          <w:color w:val="000000"/>
          <w:sz w:val="22"/>
          <w:szCs w:val="22"/>
          <w:u w:val="single"/>
        </w:rPr>
        <w:t xml:space="preserve">by the student, with only minimal involvement of the </w:t>
      </w:r>
      <w:r w:rsidR="00D67852" w:rsidRPr="00AC4CBB">
        <w:rPr>
          <w:rFonts w:asciiTheme="majorHAnsi" w:hAnsiTheme="majorHAnsi" w:cstheme="majorHAnsi"/>
          <w:color w:val="000000"/>
          <w:sz w:val="22"/>
          <w:szCs w:val="22"/>
          <w:u w:val="single"/>
        </w:rPr>
        <w:t xml:space="preserve">Thesis Advisor </w:t>
      </w:r>
      <w:r w:rsidRPr="00AC4CBB">
        <w:rPr>
          <w:rFonts w:asciiTheme="majorHAnsi" w:hAnsiTheme="majorHAnsi" w:cstheme="majorHAnsi"/>
          <w:color w:val="000000"/>
          <w:sz w:val="22"/>
          <w:szCs w:val="22"/>
          <w:u w:val="single"/>
        </w:rPr>
        <w:t>or others in the laboratory.</w:t>
      </w:r>
      <w:r w:rsidRPr="00AC4CBB">
        <w:rPr>
          <w:rFonts w:asciiTheme="majorHAnsi" w:hAnsiTheme="majorHAnsi" w:cstheme="majorHAnsi"/>
          <w:color w:val="000000"/>
          <w:sz w:val="22"/>
          <w:szCs w:val="22"/>
        </w:rPr>
        <w:t xml:space="preserve">  It is strongly recommended that the student, when possible, revise the written document for submission as a predoctoral fellowship application to a funding agency such as the NIH after completion of the Qualifying Examination. </w:t>
      </w:r>
    </w:p>
    <w:p w14:paraId="3F49BB95" w14:textId="0AAE0871" w:rsidR="00A465A6" w:rsidRDefault="00A465A6" w:rsidP="001C63CE">
      <w:pPr>
        <w:jc w:val="both"/>
        <w:rPr>
          <w:rFonts w:asciiTheme="majorHAnsi" w:hAnsiTheme="majorHAnsi" w:cstheme="majorHAnsi"/>
          <w:color w:val="000000"/>
          <w:sz w:val="22"/>
          <w:szCs w:val="22"/>
        </w:rPr>
      </w:pPr>
    </w:p>
    <w:p w14:paraId="51868B33" w14:textId="591A036D" w:rsidR="00A465A6" w:rsidRPr="00AC4CBB" w:rsidRDefault="00A465A6" w:rsidP="001C63CE">
      <w:pPr>
        <w:jc w:val="both"/>
        <w:rPr>
          <w:rFonts w:asciiTheme="majorHAnsi" w:hAnsiTheme="majorHAnsi" w:cstheme="majorHAnsi"/>
          <w:color w:val="000000"/>
          <w:sz w:val="22"/>
          <w:szCs w:val="22"/>
        </w:rPr>
      </w:pPr>
      <w:r>
        <w:rPr>
          <w:rFonts w:asciiTheme="majorHAnsi" w:hAnsiTheme="majorHAnsi" w:cstheme="majorHAnsi"/>
          <w:color w:val="000000"/>
          <w:sz w:val="22"/>
          <w:szCs w:val="22"/>
        </w:rPr>
        <w:t>It is important that the proposed thesis project be one that is technically feasible and can reasonably be accomplished during the normal timespan of a PhD, i.e., between the end of the 1st year, when the student enters the thesis lab, and the end of the 4th or 5th year, when they should be graduating.  Built into this timespan is the writing of publications and the other program commitments.</w:t>
      </w:r>
      <w:r w:rsidR="00564CF4">
        <w:rPr>
          <w:rFonts w:asciiTheme="majorHAnsi" w:hAnsiTheme="majorHAnsi" w:cstheme="majorHAnsi"/>
          <w:color w:val="000000"/>
          <w:sz w:val="22"/>
          <w:szCs w:val="22"/>
        </w:rPr>
        <w:t xml:space="preserve">  Furthermore, it is important that the aims of the project (typically 3) should not be interdependent.  For example, Aim 2 should not depend on the success of Aim 1.</w:t>
      </w:r>
    </w:p>
    <w:p w14:paraId="159A43E9" w14:textId="77777777" w:rsidR="003B52C0" w:rsidRPr="00AC4CBB" w:rsidRDefault="003B52C0" w:rsidP="001C63CE">
      <w:pPr>
        <w:jc w:val="both"/>
        <w:rPr>
          <w:rFonts w:asciiTheme="majorHAnsi" w:hAnsiTheme="majorHAnsi" w:cstheme="majorHAnsi"/>
          <w:color w:val="000000"/>
          <w:sz w:val="22"/>
          <w:szCs w:val="22"/>
        </w:rPr>
      </w:pPr>
    </w:p>
    <w:p w14:paraId="5A2BFCC3" w14:textId="69EF8D01" w:rsidR="003B52C0" w:rsidRPr="00AC4CBB" w:rsidRDefault="003B52C0" w:rsidP="00C40E00">
      <w:pPr>
        <w:shd w:val="clear" w:color="auto" w:fill="FFFFFF"/>
        <w:jc w:val="both"/>
        <w:rPr>
          <w:rFonts w:asciiTheme="majorHAnsi" w:hAnsiTheme="majorHAnsi" w:cstheme="majorHAnsi"/>
          <w:sz w:val="22"/>
          <w:szCs w:val="22"/>
        </w:rPr>
      </w:pPr>
      <w:r w:rsidRPr="00AC4CBB">
        <w:rPr>
          <w:rFonts w:asciiTheme="majorHAnsi" w:hAnsiTheme="majorHAnsi" w:cstheme="majorHAnsi"/>
          <w:sz w:val="22"/>
          <w:szCs w:val="22"/>
        </w:rPr>
        <w:t xml:space="preserve">It is advisable that the student and </w:t>
      </w:r>
      <w:r w:rsidR="002B1BFF" w:rsidRPr="00AC4CBB">
        <w:rPr>
          <w:rFonts w:asciiTheme="majorHAnsi" w:hAnsiTheme="majorHAnsi" w:cstheme="majorHAnsi"/>
          <w:sz w:val="22"/>
          <w:szCs w:val="22"/>
        </w:rPr>
        <w:t xml:space="preserve">Thesis Advisor </w:t>
      </w:r>
      <w:r w:rsidRPr="00AC4CBB">
        <w:rPr>
          <w:rFonts w:asciiTheme="majorHAnsi" w:hAnsiTheme="majorHAnsi" w:cstheme="majorHAnsi"/>
          <w:sz w:val="22"/>
          <w:szCs w:val="22"/>
        </w:rPr>
        <w:t xml:space="preserve">meet with the </w:t>
      </w:r>
      <w:r w:rsidR="002B1BFF" w:rsidRPr="00AC4CBB">
        <w:rPr>
          <w:rFonts w:asciiTheme="majorHAnsi" w:hAnsiTheme="majorHAnsi" w:cstheme="majorHAnsi"/>
          <w:sz w:val="22"/>
          <w:szCs w:val="22"/>
        </w:rPr>
        <w:t xml:space="preserve">Thesis Committee </w:t>
      </w:r>
      <w:r w:rsidRPr="00AC4CBB">
        <w:rPr>
          <w:rFonts w:asciiTheme="majorHAnsi" w:hAnsiTheme="majorHAnsi" w:cstheme="majorHAnsi"/>
          <w:sz w:val="22"/>
          <w:szCs w:val="22"/>
        </w:rPr>
        <w:t>a few months before the student writes the formal thesis proposal.  At this meeting</w:t>
      </w:r>
      <w:r w:rsidR="002B1BFF" w:rsidRPr="00AC4CBB">
        <w:rPr>
          <w:rFonts w:asciiTheme="majorHAnsi" w:hAnsiTheme="majorHAnsi" w:cstheme="majorHAnsi"/>
          <w:sz w:val="22"/>
          <w:szCs w:val="22"/>
        </w:rPr>
        <w:t xml:space="preserve"> (often called the "pre-prelim")</w:t>
      </w:r>
      <w:r w:rsidRPr="00AC4CBB">
        <w:rPr>
          <w:rFonts w:asciiTheme="majorHAnsi" w:hAnsiTheme="majorHAnsi" w:cstheme="majorHAnsi"/>
          <w:sz w:val="22"/>
          <w:szCs w:val="22"/>
        </w:rPr>
        <w:t xml:space="preserve">, the student will present </w:t>
      </w:r>
      <w:r w:rsidR="002B1BFF" w:rsidRPr="00AC4CBB">
        <w:rPr>
          <w:rFonts w:asciiTheme="majorHAnsi" w:hAnsiTheme="majorHAnsi" w:cstheme="majorHAnsi"/>
          <w:sz w:val="22"/>
          <w:szCs w:val="22"/>
        </w:rPr>
        <w:t xml:space="preserve">an outline of </w:t>
      </w:r>
      <w:r w:rsidRPr="00AC4CBB">
        <w:rPr>
          <w:rFonts w:asciiTheme="majorHAnsi" w:hAnsiTheme="majorHAnsi" w:cstheme="majorHAnsi"/>
          <w:sz w:val="22"/>
          <w:szCs w:val="22"/>
        </w:rPr>
        <w:t>the general research plan, and obtain informal feedback from the committee prior to the official Qualifying Exam.</w:t>
      </w:r>
      <w:r w:rsidR="000939B3" w:rsidRPr="00AC4CBB">
        <w:rPr>
          <w:rFonts w:asciiTheme="majorHAnsi" w:hAnsiTheme="majorHAnsi" w:cstheme="majorHAnsi"/>
          <w:sz w:val="22"/>
          <w:szCs w:val="22"/>
        </w:rPr>
        <w:t xml:space="preserve">  </w:t>
      </w:r>
      <w:r w:rsidR="000939B3" w:rsidRPr="00AC4CBB">
        <w:rPr>
          <w:rFonts w:asciiTheme="majorHAnsi" w:hAnsiTheme="majorHAnsi" w:cstheme="majorHAnsi"/>
          <w:sz w:val="22"/>
          <w:szCs w:val="22"/>
          <w:u w:val="single"/>
        </w:rPr>
        <w:t>This meeting is not meant to be a practice Qualifying Exam.</w:t>
      </w:r>
      <w:r w:rsidR="000939B3" w:rsidRPr="00AC4CBB">
        <w:rPr>
          <w:rFonts w:asciiTheme="majorHAnsi" w:hAnsiTheme="majorHAnsi" w:cstheme="majorHAnsi"/>
          <w:sz w:val="22"/>
          <w:szCs w:val="22"/>
        </w:rPr>
        <w:t xml:space="preserve">  </w:t>
      </w:r>
      <w:r w:rsidR="00970625" w:rsidRPr="00AC4CBB">
        <w:rPr>
          <w:rFonts w:asciiTheme="majorHAnsi" w:hAnsiTheme="majorHAnsi" w:cstheme="majorHAnsi"/>
          <w:sz w:val="22"/>
          <w:szCs w:val="22"/>
        </w:rPr>
        <w:t xml:space="preserve">At this point, the writing of the proposal is not expected to be completed.  The student should just present an outline of the proposed project, and obtain some general feedback and perhaps some suggested topics or papers for the student to use </w:t>
      </w:r>
      <w:r w:rsidR="00970625" w:rsidRPr="00AC4CBB">
        <w:rPr>
          <w:rFonts w:asciiTheme="majorHAnsi" w:hAnsiTheme="majorHAnsi" w:cstheme="majorHAnsi"/>
          <w:sz w:val="22"/>
          <w:szCs w:val="22"/>
        </w:rPr>
        <w:lastRenderedPageBreak/>
        <w:t xml:space="preserve">as background.  It is also a good time for the student to become familiar with the expertise and style of the </w:t>
      </w:r>
      <w:r w:rsidR="002B1BFF" w:rsidRPr="00AC4CBB">
        <w:rPr>
          <w:rFonts w:asciiTheme="majorHAnsi" w:hAnsiTheme="majorHAnsi" w:cstheme="majorHAnsi"/>
          <w:sz w:val="22"/>
          <w:szCs w:val="22"/>
        </w:rPr>
        <w:t xml:space="preserve">Thesis Committee </w:t>
      </w:r>
      <w:r w:rsidR="00970625" w:rsidRPr="00AC4CBB">
        <w:rPr>
          <w:rFonts w:asciiTheme="majorHAnsi" w:hAnsiTheme="majorHAnsi" w:cstheme="majorHAnsi"/>
          <w:sz w:val="22"/>
          <w:szCs w:val="22"/>
        </w:rPr>
        <w:t>members.  The student is not expected to be tested with questions, as will be the case in the Qualifying Exam.</w:t>
      </w:r>
    </w:p>
    <w:p w14:paraId="7FEADC02" w14:textId="77777777" w:rsidR="001C63CE" w:rsidRPr="00E846AE" w:rsidRDefault="001C63CE" w:rsidP="003B52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p w14:paraId="54D95F23" w14:textId="6ECFD899" w:rsidR="001475BD" w:rsidRPr="00E846AE" w:rsidRDefault="001475BD"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E846AE">
        <w:rPr>
          <w:rFonts w:asciiTheme="majorHAnsi" w:hAnsiTheme="majorHAnsi" w:cstheme="majorHAnsi"/>
          <w:b/>
          <w:i/>
          <w:color w:val="000000"/>
          <w:sz w:val="22"/>
          <w:szCs w:val="22"/>
          <w:u w:val="single"/>
        </w:rPr>
        <w:t>The Qualifying Examination</w:t>
      </w:r>
      <w:r w:rsidR="00970625" w:rsidRPr="00E846AE">
        <w:rPr>
          <w:rFonts w:asciiTheme="majorHAnsi" w:hAnsiTheme="majorHAnsi" w:cstheme="majorHAnsi"/>
          <w:b/>
          <w:i/>
          <w:color w:val="000000"/>
          <w:sz w:val="22"/>
          <w:szCs w:val="22"/>
          <w:u w:val="single"/>
        </w:rPr>
        <w:t xml:space="preserve"> (or "Prelim")</w:t>
      </w:r>
      <w:r w:rsidRPr="00E846AE">
        <w:rPr>
          <w:rFonts w:asciiTheme="majorHAnsi" w:hAnsiTheme="majorHAnsi" w:cstheme="majorHAnsi"/>
          <w:color w:val="000000"/>
          <w:sz w:val="22"/>
          <w:szCs w:val="22"/>
        </w:rPr>
        <w:t xml:space="preserve"> consists of a brief (20-30 minute) oral presentation of the research proposal by the student to the Thesis Committee, followed by </w:t>
      </w:r>
      <w:r w:rsidR="00BE2F34" w:rsidRPr="00E846AE">
        <w:rPr>
          <w:rFonts w:asciiTheme="majorHAnsi" w:hAnsiTheme="majorHAnsi" w:cstheme="majorHAnsi"/>
          <w:color w:val="000000"/>
          <w:sz w:val="22"/>
          <w:szCs w:val="22"/>
        </w:rPr>
        <w:t>questioning of the student and discussion of the proposal by the Committee</w:t>
      </w:r>
      <w:r w:rsidRPr="00E846AE">
        <w:rPr>
          <w:rFonts w:asciiTheme="majorHAnsi" w:hAnsiTheme="majorHAnsi" w:cstheme="majorHAnsi"/>
          <w:color w:val="000000"/>
          <w:sz w:val="22"/>
          <w:szCs w:val="22"/>
        </w:rPr>
        <w:t xml:space="preserve">, and finally </w:t>
      </w:r>
      <w:r w:rsidR="00EC04F9" w:rsidRPr="00E846AE">
        <w:rPr>
          <w:rFonts w:asciiTheme="majorHAnsi" w:hAnsiTheme="majorHAnsi" w:cstheme="majorHAnsi"/>
          <w:color w:val="000000"/>
          <w:sz w:val="22"/>
          <w:szCs w:val="22"/>
        </w:rPr>
        <w:t xml:space="preserve">completion of a </w:t>
      </w:r>
      <w:r w:rsidR="00EC04F9" w:rsidRPr="00E846AE">
        <w:rPr>
          <w:rFonts w:asciiTheme="majorHAnsi" w:hAnsiTheme="majorHAnsi" w:cstheme="majorHAnsi"/>
          <w:b/>
          <w:i/>
          <w:color w:val="000000"/>
          <w:sz w:val="22"/>
          <w:szCs w:val="22"/>
        </w:rPr>
        <w:t>Qualifying Examination Report</w:t>
      </w:r>
      <w:r w:rsidR="00EC04F9" w:rsidRPr="00E846AE">
        <w:rPr>
          <w:rFonts w:asciiTheme="majorHAnsi" w:hAnsiTheme="majorHAnsi" w:cstheme="majorHAnsi"/>
          <w:color w:val="000000"/>
          <w:sz w:val="22"/>
          <w:szCs w:val="22"/>
        </w:rPr>
        <w:t xml:space="preserve"> </w:t>
      </w:r>
      <w:r w:rsidRPr="00E846AE">
        <w:rPr>
          <w:rFonts w:asciiTheme="majorHAnsi" w:hAnsiTheme="majorHAnsi" w:cstheme="majorHAnsi"/>
          <w:color w:val="000000"/>
          <w:sz w:val="22"/>
          <w:szCs w:val="22"/>
        </w:rPr>
        <w:t>by the Thesis Committee</w:t>
      </w:r>
      <w:r w:rsidR="00EC04F9" w:rsidRPr="00E846AE">
        <w:rPr>
          <w:rFonts w:asciiTheme="majorHAnsi" w:hAnsiTheme="majorHAnsi" w:cstheme="majorHAnsi"/>
          <w:color w:val="000000"/>
          <w:sz w:val="22"/>
          <w:szCs w:val="22"/>
        </w:rPr>
        <w:t xml:space="preserve"> </w:t>
      </w:r>
      <w:r w:rsidR="002849F1" w:rsidRPr="00E846AE">
        <w:rPr>
          <w:rFonts w:asciiTheme="majorHAnsi" w:hAnsiTheme="majorHAnsi" w:cstheme="majorHAnsi"/>
          <w:color w:val="000000"/>
          <w:sz w:val="22"/>
          <w:szCs w:val="22"/>
        </w:rPr>
        <w:t xml:space="preserve">Chair in consultation with the rest of the committee, </w:t>
      </w:r>
      <w:r w:rsidR="00EC04F9" w:rsidRPr="00E846AE">
        <w:rPr>
          <w:rFonts w:asciiTheme="majorHAnsi" w:hAnsiTheme="majorHAnsi" w:cstheme="majorHAnsi"/>
          <w:color w:val="000000"/>
          <w:sz w:val="22"/>
          <w:szCs w:val="22"/>
        </w:rPr>
        <w:t>to be sent to the Program Director and Program Coordinator</w:t>
      </w:r>
      <w:r w:rsidRPr="00E846AE">
        <w:rPr>
          <w:rFonts w:asciiTheme="majorHAnsi" w:hAnsiTheme="majorHAnsi" w:cstheme="majorHAnsi"/>
          <w:color w:val="000000"/>
          <w:sz w:val="22"/>
          <w:szCs w:val="22"/>
        </w:rPr>
        <w:t xml:space="preserve">. </w:t>
      </w:r>
      <w:r w:rsidR="002849F1" w:rsidRPr="00E846AE">
        <w:rPr>
          <w:rFonts w:asciiTheme="majorHAnsi" w:hAnsiTheme="majorHAnsi" w:cstheme="majorHAnsi"/>
          <w:color w:val="000000"/>
          <w:sz w:val="22"/>
          <w:szCs w:val="22"/>
        </w:rPr>
        <w:t xml:space="preserve"> The student shall obtain the blank form from the </w:t>
      </w:r>
      <w:r w:rsidR="00E846AE" w:rsidRPr="00E846AE">
        <w:rPr>
          <w:rFonts w:asciiTheme="majorHAnsi" w:hAnsiTheme="majorHAnsi" w:cstheme="majorHAnsi"/>
          <w:color w:val="000000"/>
          <w:sz w:val="22"/>
          <w:szCs w:val="22"/>
        </w:rPr>
        <w:t>TSGP</w:t>
      </w:r>
      <w:r w:rsidR="002849F1" w:rsidRPr="00E846AE">
        <w:rPr>
          <w:rFonts w:asciiTheme="majorHAnsi" w:hAnsiTheme="majorHAnsi" w:cstheme="majorHAnsi"/>
          <w:color w:val="000000"/>
          <w:sz w:val="22"/>
          <w:szCs w:val="22"/>
        </w:rPr>
        <w:t xml:space="preserve"> website and provide it to the Thesis Committee Chair</w:t>
      </w:r>
      <w:r w:rsidR="00970625" w:rsidRPr="00E846AE">
        <w:rPr>
          <w:rFonts w:asciiTheme="majorHAnsi" w:hAnsiTheme="majorHAnsi" w:cstheme="majorHAnsi"/>
          <w:color w:val="000000"/>
          <w:sz w:val="22"/>
          <w:szCs w:val="22"/>
        </w:rPr>
        <w:t xml:space="preserve"> in hardcopy form as well as in pdf</w:t>
      </w:r>
      <w:r w:rsidR="002849F1" w:rsidRPr="00E846AE">
        <w:rPr>
          <w:rFonts w:asciiTheme="majorHAnsi" w:hAnsiTheme="majorHAnsi" w:cstheme="majorHAnsi"/>
          <w:color w:val="000000"/>
          <w:sz w:val="22"/>
          <w:szCs w:val="22"/>
        </w:rPr>
        <w:t>.</w:t>
      </w:r>
      <w:r w:rsidR="00970625" w:rsidRPr="00E846AE">
        <w:rPr>
          <w:rFonts w:asciiTheme="majorHAnsi" w:hAnsiTheme="majorHAnsi" w:cstheme="majorHAnsi"/>
          <w:color w:val="000000"/>
          <w:sz w:val="22"/>
          <w:szCs w:val="22"/>
        </w:rPr>
        <w:t xml:space="preserve">  The hardcopy version can be used to save time for the Thesis Committee Chair, who may enter handwritten comments on the form during the discussion of the Thesis Committee at the end of the Exam, rather </w:t>
      </w:r>
      <w:r w:rsidR="00DC1572" w:rsidRPr="00E846AE">
        <w:rPr>
          <w:rFonts w:asciiTheme="majorHAnsi" w:hAnsiTheme="majorHAnsi" w:cstheme="majorHAnsi"/>
          <w:color w:val="000000"/>
          <w:sz w:val="22"/>
          <w:szCs w:val="22"/>
        </w:rPr>
        <w:t>than having to type the comments</w:t>
      </w:r>
      <w:r w:rsidR="00970625" w:rsidRPr="00E846AE">
        <w:rPr>
          <w:rFonts w:asciiTheme="majorHAnsi" w:hAnsiTheme="majorHAnsi" w:cstheme="majorHAnsi"/>
          <w:color w:val="000000"/>
          <w:sz w:val="22"/>
          <w:szCs w:val="22"/>
        </w:rPr>
        <w:t xml:space="preserve"> into the pdf</w:t>
      </w:r>
      <w:r w:rsidR="00DC1572" w:rsidRPr="00E846AE">
        <w:rPr>
          <w:rFonts w:asciiTheme="majorHAnsi" w:hAnsiTheme="majorHAnsi" w:cstheme="majorHAnsi"/>
          <w:color w:val="000000"/>
          <w:sz w:val="22"/>
          <w:szCs w:val="22"/>
        </w:rPr>
        <w:t xml:space="preserve"> after the exam</w:t>
      </w:r>
      <w:r w:rsidR="00970625" w:rsidRPr="00E846AE">
        <w:rPr>
          <w:rFonts w:asciiTheme="majorHAnsi" w:hAnsiTheme="majorHAnsi" w:cstheme="majorHAnsi"/>
          <w:color w:val="000000"/>
          <w:sz w:val="22"/>
          <w:szCs w:val="22"/>
        </w:rPr>
        <w:t>.</w:t>
      </w:r>
      <w:r w:rsidR="00612189" w:rsidRPr="00E846AE">
        <w:rPr>
          <w:rFonts w:asciiTheme="majorHAnsi" w:hAnsiTheme="majorHAnsi" w:cstheme="majorHAnsi"/>
          <w:color w:val="000000"/>
          <w:sz w:val="22"/>
          <w:szCs w:val="22"/>
        </w:rPr>
        <w:t xml:space="preserve">  </w:t>
      </w:r>
    </w:p>
    <w:p w14:paraId="32363FEF" w14:textId="77777777" w:rsidR="00612189" w:rsidRPr="00CF0CBB" w:rsidRDefault="00612189"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2FD6FCAC" w14:textId="6D0C1F76" w:rsidR="00612189" w:rsidRPr="00CF0CBB" w:rsidRDefault="00612189"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CF0CBB">
        <w:rPr>
          <w:rFonts w:asciiTheme="majorHAnsi" w:hAnsiTheme="majorHAnsi" w:cstheme="majorHAnsi"/>
          <w:color w:val="000000"/>
          <w:sz w:val="22"/>
          <w:szCs w:val="22"/>
          <w:u w:val="single"/>
        </w:rPr>
        <w:t>The general format of the exam</w:t>
      </w:r>
      <w:r w:rsidRPr="00CF0CBB">
        <w:rPr>
          <w:rFonts w:asciiTheme="majorHAnsi" w:hAnsiTheme="majorHAnsi" w:cstheme="majorHAnsi"/>
          <w:color w:val="000000"/>
          <w:sz w:val="22"/>
          <w:szCs w:val="22"/>
        </w:rPr>
        <w:t>:  1) the students leaves the room initially while the Thesis Advisor briefs the rest of the Thesis Committee on the student's progress at that point, and there is a general discussion on the quality of the written Thesis Proposal; 2) the student re-enters the room and gives the oral presentation; the Thesis Committee members ask questions and provide feedback during and after the presentation</w:t>
      </w:r>
      <w:r w:rsidR="007A1748" w:rsidRPr="00CF0CBB">
        <w:rPr>
          <w:rFonts w:asciiTheme="majorHAnsi" w:hAnsiTheme="majorHAnsi" w:cstheme="majorHAnsi"/>
          <w:color w:val="000000"/>
          <w:sz w:val="22"/>
          <w:szCs w:val="22"/>
        </w:rPr>
        <w:t xml:space="preserve"> (the Thesis Advisor does not participate in the questioning, and does not answer the questions for the student, although </w:t>
      </w:r>
      <w:r w:rsidR="00C22C9E" w:rsidRPr="00CF0CBB">
        <w:rPr>
          <w:rFonts w:asciiTheme="majorHAnsi" w:hAnsiTheme="majorHAnsi" w:cstheme="majorHAnsi"/>
          <w:color w:val="000000"/>
          <w:sz w:val="22"/>
          <w:szCs w:val="22"/>
        </w:rPr>
        <w:t xml:space="preserve">they </w:t>
      </w:r>
      <w:r w:rsidR="007A1748" w:rsidRPr="00CF0CBB">
        <w:rPr>
          <w:rFonts w:asciiTheme="majorHAnsi" w:hAnsiTheme="majorHAnsi" w:cstheme="majorHAnsi"/>
          <w:color w:val="000000"/>
          <w:sz w:val="22"/>
          <w:szCs w:val="22"/>
        </w:rPr>
        <w:t>may help clarify a question if the student does not seem to understand it)</w:t>
      </w:r>
      <w:r w:rsidRPr="00CF0CBB">
        <w:rPr>
          <w:rFonts w:asciiTheme="majorHAnsi" w:hAnsiTheme="majorHAnsi" w:cstheme="majorHAnsi"/>
          <w:color w:val="000000"/>
          <w:sz w:val="22"/>
          <w:szCs w:val="22"/>
        </w:rPr>
        <w:t>; 3) the student leaves the room while the Thesis Committee discusses the student's performance and decides whe</w:t>
      </w:r>
      <w:r w:rsidR="007A1748" w:rsidRPr="00CF0CBB">
        <w:rPr>
          <w:rFonts w:asciiTheme="majorHAnsi" w:hAnsiTheme="majorHAnsi" w:cstheme="majorHAnsi"/>
          <w:color w:val="000000"/>
          <w:sz w:val="22"/>
          <w:szCs w:val="22"/>
        </w:rPr>
        <w:t xml:space="preserve">ther the student passes or fails the exam, or whether they pass with </w:t>
      </w:r>
      <w:r w:rsidR="00E846AE" w:rsidRPr="00CF0CBB">
        <w:rPr>
          <w:rFonts w:asciiTheme="majorHAnsi" w:hAnsiTheme="majorHAnsi" w:cstheme="majorHAnsi"/>
          <w:color w:val="000000"/>
          <w:sz w:val="22"/>
          <w:szCs w:val="22"/>
        </w:rPr>
        <w:t>stipulations (a "conditional pass")</w:t>
      </w:r>
      <w:r w:rsidR="00031F7B" w:rsidRPr="00CF0CBB">
        <w:rPr>
          <w:rFonts w:asciiTheme="majorHAnsi" w:hAnsiTheme="majorHAnsi" w:cstheme="majorHAnsi"/>
          <w:color w:val="000000"/>
          <w:sz w:val="22"/>
          <w:szCs w:val="22"/>
        </w:rPr>
        <w:t xml:space="preserve">.  In the latter case, the Thesis Committee will </w:t>
      </w:r>
      <w:r w:rsidR="009E2520" w:rsidRPr="00CF0CBB">
        <w:rPr>
          <w:rFonts w:asciiTheme="majorHAnsi" w:hAnsiTheme="majorHAnsi" w:cstheme="majorHAnsi"/>
          <w:color w:val="000000"/>
          <w:sz w:val="22"/>
          <w:szCs w:val="22"/>
        </w:rPr>
        <w:t xml:space="preserve">decide </w:t>
      </w:r>
      <w:r w:rsidR="00031F7B" w:rsidRPr="00CF0CBB">
        <w:rPr>
          <w:rFonts w:asciiTheme="majorHAnsi" w:hAnsiTheme="majorHAnsi" w:cstheme="majorHAnsi"/>
          <w:color w:val="000000"/>
          <w:sz w:val="22"/>
          <w:szCs w:val="22"/>
        </w:rPr>
        <w:t xml:space="preserve">and communicate </w:t>
      </w:r>
      <w:r w:rsidR="009E2520" w:rsidRPr="00CF0CBB">
        <w:rPr>
          <w:rFonts w:asciiTheme="majorHAnsi" w:hAnsiTheme="majorHAnsi" w:cstheme="majorHAnsi"/>
          <w:color w:val="000000"/>
          <w:sz w:val="22"/>
          <w:szCs w:val="22"/>
        </w:rPr>
        <w:t xml:space="preserve">what the student must do to pass, and when that extra effort must be completed.  For example, the student may be required to re-write </w:t>
      </w:r>
      <w:r w:rsidR="00A12303" w:rsidRPr="00CF0CBB">
        <w:rPr>
          <w:rFonts w:asciiTheme="majorHAnsi" w:hAnsiTheme="majorHAnsi" w:cstheme="majorHAnsi"/>
          <w:color w:val="000000"/>
          <w:sz w:val="22"/>
          <w:szCs w:val="22"/>
        </w:rPr>
        <w:t xml:space="preserve">sections of </w:t>
      </w:r>
      <w:r w:rsidR="00154A96" w:rsidRPr="00CF0CBB">
        <w:rPr>
          <w:rFonts w:asciiTheme="majorHAnsi" w:hAnsiTheme="majorHAnsi" w:cstheme="majorHAnsi"/>
          <w:color w:val="000000"/>
          <w:sz w:val="22"/>
          <w:szCs w:val="22"/>
        </w:rPr>
        <w:t xml:space="preserve">the proposal, </w:t>
      </w:r>
      <w:r w:rsidR="009E2520" w:rsidRPr="00CF0CBB">
        <w:rPr>
          <w:rFonts w:asciiTheme="majorHAnsi" w:hAnsiTheme="majorHAnsi" w:cstheme="majorHAnsi"/>
          <w:color w:val="000000"/>
          <w:sz w:val="22"/>
          <w:szCs w:val="22"/>
        </w:rPr>
        <w:t>take a course to fill a gap in background knowledge</w:t>
      </w:r>
      <w:r w:rsidR="00154A96" w:rsidRPr="00CF0CBB">
        <w:rPr>
          <w:rFonts w:asciiTheme="majorHAnsi" w:hAnsiTheme="majorHAnsi" w:cstheme="majorHAnsi"/>
          <w:color w:val="000000"/>
          <w:sz w:val="22"/>
          <w:szCs w:val="22"/>
        </w:rPr>
        <w:t>, or r</w:t>
      </w:r>
      <w:r w:rsidR="00B22559" w:rsidRPr="00CF0CBB">
        <w:rPr>
          <w:rFonts w:asciiTheme="majorHAnsi" w:hAnsiTheme="majorHAnsi" w:cstheme="majorHAnsi"/>
          <w:color w:val="000000"/>
          <w:sz w:val="22"/>
          <w:szCs w:val="22"/>
        </w:rPr>
        <w:t xml:space="preserve">ead some literature and write an analysis based on </w:t>
      </w:r>
      <w:r w:rsidR="00154A96" w:rsidRPr="00CF0CBB">
        <w:rPr>
          <w:rFonts w:asciiTheme="majorHAnsi" w:hAnsiTheme="majorHAnsi" w:cstheme="majorHAnsi"/>
          <w:color w:val="000000"/>
          <w:sz w:val="22"/>
          <w:szCs w:val="22"/>
        </w:rPr>
        <w:t>that</w:t>
      </w:r>
      <w:r w:rsidR="009E2520" w:rsidRPr="00CF0CBB">
        <w:rPr>
          <w:rFonts w:asciiTheme="majorHAnsi" w:hAnsiTheme="majorHAnsi" w:cstheme="majorHAnsi"/>
          <w:color w:val="000000"/>
          <w:sz w:val="22"/>
          <w:szCs w:val="22"/>
        </w:rPr>
        <w:t>.</w:t>
      </w:r>
      <w:r w:rsidR="001D41B8" w:rsidRPr="00CF0CBB">
        <w:rPr>
          <w:rFonts w:asciiTheme="majorHAnsi" w:hAnsiTheme="majorHAnsi" w:cstheme="majorHAnsi"/>
          <w:color w:val="000000"/>
          <w:sz w:val="22"/>
          <w:szCs w:val="22"/>
        </w:rPr>
        <w:t xml:space="preserve">  Once the student has satisfactorily completed these tasks</w:t>
      </w:r>
      <w:r w:rsidR="00FC7362" w:rsidRPr="00CF0CBB">
        <w:rPr>
          <w:rFonts w:asciiTheme="majorHAnsi" w:hAnsiTheme="majorHAnsi" w:cstheme="majorHAnsi"/>
          <w:color w:val="000000"/>
          <w:sz w:val="22"/>
          <w:szCs w:val="22"/>
        </w:rPr>
        <w:t xml:space="preserve"> (by the specified dates)</w:t>
      </w:r>
      <w:r w:rsidR="001D41B8" w:rsidRPr="00CF0CBB">
        <w:rPr>
          <w:rFonts w:asciiTheme="majorHAnsi" w:hAnsiTheme="majorHAnsi" w:cstheme="majorHAnsi"/>
          <w:color w:val="000000"/>
          <w:sz w:val="22"/>
          <w:szCs w:val="22"/>
        </w:rPr>
        <w:t xml:space="preserve">, the </w:t>
      </w:r>
      <w:r w:rsidR="00E846AE" w:rsidRPr="00CF0CBB">
        <w:rPr>
          <w:rFonts w:asciiTheme="majorHAnsi" w:hAnsiTheme="majorHAnsi" w:cstheme="majorHAnsi"/>
          <w:color w:val="000000"/>
          <w:sz w:val="22"/>
          <w:szCs w:val="22"/>
        </w:rPr>
        <w:t>stipulations</w:t>
      </w:r>
      <w:r w:rsidR="001D41B8" w:rsidRPr="00CF0CBB">
        <w:rPr>
          <w:rFonts w:asciiTheme="majorHAnsi" w:hAnsiTheme="majorHAnsi" w:cstheme="majorHAnsi"/>
          <w:color w:val="000000"/>
          <w:sz w:val="22"/>
          <w:szCs w:val="22"/>
        </w:rPr>
        <w:t xml:space="preserve"> will be removed, and the Exam result will be changed to a Pass.</w:t>
      </w:r>
    </w:p>
    <w:p w14:paraId="499F3DA4" w14:textId="77777777" w:rsidR="001C63CE" w:rsidRPr="00CF0CBB" w:rsidRDefault="001C63CE"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7D0C8D1F" w14:textId="6229A020" w:rsidR="001C63CE" w:rsidRPr="00CF0CBB" w:rsidRDefault="001C63CE" w:rsidP="001C6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CF0CBB">
        <w:rPr>
          <w:rFonts w:asciiTheme="majorHAnsi" w:hAnsiTheme="majorHAnsi" w:cstheme="majorHAnsi"/>
          <w:color w:val="000000"/>
          <w:sz w:val="22"/>
          <w:szCs w:val="22"/>
        </w:rPr>
        <w:t xml:space="preserve">Major goals for </w:t>
      </w:r>
      <w:r w:rsidR="00566CFE" w:rsidRPr="00CF0CBB">
        <w:rPr>
          <w:rFonts w:asciiTheme="majorHAnsi" w:hAnsiTheme="majorHAnsi" w:cstheme="majorHAnsi"/>
          <w:color w:val="000000"/>
          <w:sz w:val="22"/>
          <w:szCs w:val="22"/>
        </w:rPr>
        <w:t>the Qualifying</w:t>
      </w:r>
      <w:r w:rsidRPr="00CF0CBB">
        <w:rPr>
          <w:rFonts w:asciiTheme="majorHAnsi" w:hAnsiTheme="majorHAnsi" w:cstheme="majorHAnsi"/>
          <w:color w:val="000000"/>
          <w:sz w:val="22"/>
          <w:szCs w:val="22"/>
        </w:rPr>
        <w:t xml:space="preserve"> </w:t>
      </w:r>
      <w:r w:rsidR="00566CFE" w:rsidRPr="00CF0CBB">
        <w:rPr>
          <w:rFonts w:asciiTheme="majorHAnsi" w:hAnsiTheme="majorHAnsi" w:cstheme="majorHAnsi"/>
          <w:color w:val="000000"/>
          <w:sz w:val="22"/>
          <w:szCs w:val="22"/>
        </w:rPr>
        <w:t>E</w:t>
      </w:r>
      <w:r w:rsidRPr="00CF0CBB">
        <w:rPr>
          <w:rFonts w:asciiTheme="majorHAnsi" w:hAnsiTheme="majorHAnsi" w:cstheme="majorHAnsi"/>
          <w:color w:val="000000"/>
          <w:sz w:val="22"/>
          <w:szCs w:val="22"/>
        </w:rPr>
        <w:t>xamination are t</w:t>
      </w:r>
      <w:r w:rsidRPr="00CF0CBB">
        <w:rPr>
          <w:rFonts w:asciiTheme="majorHAnsi" w:hAnsiTheme="majorHAnsi" w:cstheme="majorHAnsi"/>
          <w:sz w:val="22"/>
          <w:szCs w:val="22"/>
        </w:rPr>
        <w:t>o evaluate the student’s comprehension of the scientific literature in the area of the thesis research as well as in related areas</w:t>
      </w:r>
      <w:r w:rsidR="00566CFE" w:rsidRPr="00CF0CBB">
        <w:rPr>
          <w:rFonts w:asciiTheme="majorHAnsi" w:hAnsiTheme="majorHAnsi" w:cstheme="majorHAnsi"/>
          <w:sz w:val="22"/>
          <w:szCs w:val="22"/>
        </w:rPr>
        <w:t>,</w:t>
      </w:r>
      <w:r w:rsidRPr="00CF0CBB">
        <w:rPr>
          <w:rFonts w:asciiTheme="majorHAnsi" w:hAnsiTheme="majorHAnsi" w:cstheme="majorHAnsi"/>
          <w:sz w:val="22"/>
          <w:szCs w:val="22"/>
        </w:rPr>
        <w:t xml:space="preserve"> and to evaluate the student’s ability to define scientific questions</w:t>
      </w:r>
      <w:r w:rsidR="00D01B0E" w:rsidRPr="00CF0CBB">
        <w:rPr>
          <w:rFonts w:asciiTheme="majorHAnsi" w:hAnsiTheme="majorHAnsi" w:cstheme="majorHAnsi"/>
          <w:sz w:val="22"/>
          <w:szCs w:val="22"/>
        </w:rPr>
        <w:t>,</w:t>
      </w:r>
      <w:r w:rsidRPr="00CF0CBB">
        <w:rPr>
          <w:rFonts w:asciiTheme="majorHAnsi" w:hAnsiTheme="majorHAnsi" w:cstheme="majorHAnsi"/>
          <w:sz w:val="22"/>
          <w:szCs w:val="22"/>
        </w:rPr>
        <w:t xml:space="preserve"> to develop experimental strategies</w:t>
      </w:r>
      <w:r w:rsidR="00D01B0E" w:rsidRPr="00CF0CBB">
        <w:rPr>
          <w:rFonts w:asciiTheme="majorHAnsi" w:hAnsiTheme="majorHAnsi" w:cstheme="majorHAnsi"/>
          <w:sz w:val="22"/>
          <w:szCs w:val="22"/>
        </w:rPr>
        <w:t>, and to actually do experiments</w:t>
      </w:r>
      <w:r w:rsidRPr="00CF0CBB">
        <w:rPr>
          <w:rFonts w:asciiTheme="majorHAnsi" w:hAnsiTheme="majorHAnsi" w:cstheme="majorHAnsi"/>
          <w:sz w:val="22"/>
          <w:szCs w:val="22"/>
        </w:rPr>
        <w:t>.  However, this examination also is an opportunity to obtain input from the Thesis Committee on the feasibility of the project and possible improvements to the research plan.</w:t>
      </w:r>
      <w:r w:rsidR="00950C93" w:rsidRPr="00CF0CBB">
        <w:rPr>
          <w:rFonts w:asciiTheme="majorHAnsi" w:hAnsiTheme="majorHAnsi" w:cstheme="majorHAnsi"/>
          <w:sz w:val="22"/>
          <w:szCs w:val="22"/>
        </w:rPr>
        <w:t xml:space="preserve">  The student is </w:t>
      </w:r>
      <w:r w:rsidR="00950C93" w:rsidRPr="00CF0CBB">
        <w:rPr>
          <w:rFonts w:asciiTheme="majorHAnsi" w:hAnsiTheme="majorHAnsi" w:cstheme="majorHAnsi"/>
          <w:bCs/>
          <w:iCs/>
          <w:sz w:val="22"/>
          <w:szCs w:val="22"/>
          <w:u w:val="single"/>
        </w:rPr>
        <w:t>not</w:t>
      </w:r>
      <w:r w:rsidR="00950C93" w:rsidRPr="00CF0CBB">
        <w:rPr>
          <w:rFonts w:asciiTheme="majorHAnsi" w:hAnsiTheme="majorHAnsi" w:cstheme="majorHAnsi"/>
          <w:sz w:val="22"/>
          <w:szCs w:val="22"/>
        </w:rPr>
        <w:t xml:space="preserve"> expected to have obtained extensive preliminary data, but they should have enough data to illustrate that they are capable of </w:t>
      </w:r>
      <w:r w:rsidR="009D5933" w:rsidRPr="00CF0CBB">
        <w:rPr>
          <w:rFonts w:asciiTheme="majorHAnsi" w:hAnsiTheme="majorHAnsi" w:cstheme="majorHAnsi"/>
          <w:sz w:val="22"/>
          <w:szCs w:val="22"/>
        </w:rPr>
        <w:t>collecting and understanding data, and understanding the methods they are using and why such methods were picked.</w:t>
      </w:r>
      <w:r w:rsidR="00A465A6" w:rsidRPr="00CF0CBB">
        <w:rPr>
          <w:rFonts w:asciiTheme="majorHAnsi" w:hAnsiTheme="majorHAnsi" w:cstheme="majorHAnsi"/>
          <w:sz w:val="22"/>
          <w:szCs w:val="22"/>
        </w:rPr>
        <w:t xml:space="preserve">  Also, some preliminary data may be necessary to test feasibility if the technique being used is new to the Thesis Advisor's laboratory or is particularly novel.  </w:t>
      </w:r>
    </w:p>
    <w:p w14:paraId="3B3D23DE" w14:textId="77777777" w:rsidR="00350860" w:rsidRPr="00CF0CBB" w:rsidRDefault="00350860"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3395BC8A" w14:textId="090C89A8" w:rsidR="00350860" w:rsidRPr="00CF0CBB" w:rsidRDefault="00B411C6"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CF0CBB">
        <w:rPr>
          <w:rFonts w:asciiTheme="majorHAnsi" w:hAnsiTheme="majorHAnsi" w:cstheme="majorHAnsi"/>
          <w:color w:val="000000"/>
          <w:sz w:val="22"/>
          <w:szCs w:val="22"/>
        </w:rPr>
        <w:t xml:space="preserve">Once the student passes the Qualifying Exam, </w:t>
      </w:r>
      <w:r w:rsidR="00237D9D" w:rsidRPr="00CF0CBB">
        <w:rPr>
          <w:rFonts w:asciiTheme="majorHAnsi" w:hAnsiTheme="majorHAnsi" w:cstheme="majorHAnsi"/>
          <w:color w:val="000000"/>
          <w:sz w:val="22"/>
          <w:szCs w:val="22"/>
        </w:rPr>
        <w:t>they are</w:t>
      </w:r>
      <w:r w:rsidRPr="00CF0CBB">
        <w:rPr>
          <w:rFonts w:asciiTheme="majorHAnsi" w:hAnsiTheme="majorHAnsi" w:cstheme="majorHAnsi"/>
          <w:color w:val="000000"/>
          <w:sz w:val="22"/>
          <w:szCs w:val="22"/>
        </w:rPr>
        <w:t xml:space="preserve"> officially considered a </w:t>
      </w:r>
      <w:r w:rsidRPr="00CF0CBB">
        <w:rPr>
          <w:rFonts w:asciiTheme="majorHAnsi" w:hAnsiTheme="majorHAnsi" w:cstheme="majorHAnsi"/>
          <w:color w:val="000000"/>
          <w:sz w:val="22"/>
          <w:szCs w:val="22"/>
          <w:u w:val="single"/>
        </w:rPr>
        <w:t xml:space="preserve">candidate for the </w:t>
      </w:r>
      <w:r w:rsidR="00FD7A5A" w:rsidRPr="00CF0CBB">
        <w:rPr>
          <w:rFonts w:asciiTheme="majorHAnsi" w:hAnsiTheme="majorHAnsi" w:cstheme="majorHAnsi"/>
          <w:color w:val="000000"/>
          <w:sz w:val="22"/>
          <w:szCs w:val="22"/>
          <w:u w:val="single"/>
        </w:rPr>
        <w:t>PhD</w:t>
      </w:r>
      <w:r w:rsidR="00CF0CBB" w:rsidRPr="00CF0CBB">
        <w:rPr>
          <w:rFonts w:asciiTheme="majorHAnsi" w:hAnsiTheme="majorHAnsi" w:cstheme="majorHAnsi"/>
          <w:color w:val="000000"/>
          <w:sz w:val="22"/>
          <w:szCs w:val="22"/>
          <w:u w:val="single"/>
        </w:rPr>
        <w:t>.</w:t>
      </w:r>
      <w:r w:rsidRPr="00CF0CBB">
        <w:rPr>
          <w:rFonts w:asciiTheme="majorHAnsi" w:hAnsiTheme="majorHAnsi" w:cstheme="majorHAnsi"/>
          <w:color w:val="000000"/>
          <w:sz w:val="22"/>
          <w:szCs w:val="22"/>
        </w:rPr>
        <w:t xml:space="preserve">  </w:t>
      </w:r>
      <w:r w:rsidR="00EB6EF4" w:rsidRPr="00CF0CBB">
        <w:rPr>
          <w:rFonts w:asciiTheme="majorHAnsi" w:hAnsiTheme="majorHAnsi" w:cstheme="majorHAnsi"/>
          <w:color w:val="000000"/>
          <w:sz w:val="22"/>
          <w:szCs w:val="22"/>
        </w:rPr>
        <w:t xml:space="preserve">A student may fail the Qualifying Exam based on an unsatisfactory written thesis proposal and/or oral portion of the exam.  </w:t>
      </w:r>
      <w:r w:rsidR="00350860" w:rsidRPr="00CF0CBB">
        <w:rPr>
          <w:rFonts w:asciiTheme="majorHAnsi" w:hAnsiTheme="majorHAnsi" w:cstheme="majorHAnsi"/>
          <w:color w:val="000000"/>
          <w:sz w:val="22"/>
          <w:szCs w:val="22"/>
        </w:rPr>
        <w:t xml:space="preserve">Failure to </w:t>
      </w:r>
      <w:r w:rsidR="007452CA" w:rsidRPr="00CF0CBB">
        <w:rPr>
          <w:rFonts w:asciiTheme="majorHAnsi" w:hAnsiTheme="majorHAnsi" w:cstheme="majorHAnsi"/>
          <w:color w:val="000000"/>
          <w:sz w:val="22"/>
          <w:szCs w:val="22"/>
        </w:rPr>
        <w:t>take and pass</w:t>
      </w:r>
      <w:r w:rsidR="00350860" w:rsidRPr="00CF0CBB">
        <w:rPr>
          <w:rFonts w:asciiTheme="majorHAnsi" w:hAnsiTheme="majorHAnsi" w:cstheme="majorHAnsi"/>
          <w:color w:val="000000"/>
          <w:sz w:val="22"/>
          <w:szCs w:val="22"/>
        </w:rPr>
        <w:t xml:space="preserve"> the Qualifying Exam by June 1 in Semester 4 is grounds for placement on academic warning.  Under special circumstances, permission may be granted by the Graduate Program Committee</w:t>
      </w:r>
      <w:r w:rsidR="00031F7B" w:rsidRPr="00CF0CBB">
        <w:rPr>
          <w:rFonts w:asciiTheme="majorHAnsi" w:hAnsiTheme="majorHAnsi" w:cstheme="majorHAnsi"/>
          <w:color w:val="000000"/>
          <w:sz w:val="22"/>
          <w:szCs w:val="22"/>
        </w:rPr>
        <w:t>, via the Graduate Program Director,</w:t>
      </w:r>
      <w:r w:rsidR="00350860" w:rsidRPr="00CF0CBB">
        <w:rPr>
          <w:rFonts w:asciiTheme="majorHAnsi" w:hAnsiTheme="majorHAnsi" w:cstheme="majorHAnsi"/>
          <w:color w:val="000000"/>
          <w:sz w:val="22"/>
          <w:szCs w:val="22"/>
        </w:rPr>
        <w:t xml:space="preserve"> for an extension of the deadline </w:t>
      </w:r>
      <w:r w:rsidR="002B226A" w:rsidRPr="00CF0CBB">
        <w:rPr>
          <w:rFonts w:asciiTheme="majorHAnsi" w:hAnsiTheme="majorHAnsi" w:cstheme="majorHAnsi"/>
          <w:color w:val="000000"/>
          <w:sz w:val="22"/>
          <w:szCs w:val="22"/>
        </w:rPr>
        <w:t>for scheduling a Qualifying Exam</w:t>
      </w:r>
      <w:r w:rsidR="00CF0CBB" w:rsidRPr="00CF0CBB">
        <w:rPr>
          <w:rFonts w:asciiTheme="majorHAnsi" w:hAnsiTheme="majorHAnsi" w:cstheme="majorHAnsi"/>
          <w:color w:val="000000"/>
          <w:sz w:val="22"/>
          <w:szCs w:val="22"/>
        </w:rPr>
        <w:t>.</w:t>
      </w:r>
      <w:r w:rsidR="00350860" w:rsidRPr="00CF0CBB">
        <w:rPr>
          <w:rFonts w:asciiTheme="majorHAnsi" w:hAnsiTheme="majorHAnsi" w:cstheme="majorHAnsi"/>
          <w:color w:val="000000"/>
          <w:sz w:val="22"/>
          <w:szCs w:val="22"/>
        </w:rPr>
        <w:t xml:space="preserve">  </w:t>
      </w:r>
      <w:r w:rsidR="00F61E83" w:rsidRPr="00CF0CBB">
        <w:rPr>
          <w:rFonts w:asciiTheme="majorHAnsi" w:hAnsiTheme="majorHAnsi" w:cstheme="majorHAnsi"/>
          <w:color w:val="000000"/>
          <w:sz w:val="22"/>
          <w:szCs w:val="22"/>
        </w:rPr>
        <w:t xml:space="preserve">If a student </w:t>
      </w:r>
      <w:r w:rsidR="00CF0CBB" w:rsidRPr="00CF0CBB">
        <w:rPr>
          <w:rFonts w:asciiTheme="majorHAnsi" w:hAnsiTheme="majorHAnsi" w:cstheme="majorHAnsi"/>
          <w:color w:val="000000"/>
          <w:sz w:val="22"/>
          <w:szCs w:val="22"/>
        </w:rPr>
        <w:t xml:space="preserve">receives a "conditional" </w:t>
      </w:r>
      <w:r w:rsidR="00F61E83" w:rsidRPr="00CF0CBB">
        <w:rPr>
          <w:rFonts w:asciiTheme="majorHAnsi" w:hAnsiTheme="majorHAnsi" w:cstheme="majorHAnsi"/>
          <w:color w:val="000000"/>
          <w:sz w:val="22"/>
          <w:szCs w:val="22"/>
        </w:rPr>
        <w:t>pass</w:t>
      </w:r>
      <w:r w:rsidR="00CF0CBB" w:rsidRPr="00CF0CBB">
        <w:rPr>
          <w:rFonts w:asciiTheme="majorHAnsi" w:hAnsiTheme="majorHAnsi" w:cstheme="majorHAnsi"/>
          <w:color w:val="000000"/>
          <w:sz w:val="22"/>
          <w:szCs w:val="22"/>
        </w:rPr>
        <w:t xml:space="preserve"> on</w:t>
      </w:r>
      <w:r w:rsidR="00F61E83" w:rsidRPr="00CF0CBB">
        <w:rPr>
          <w:rFonts w:asciiTheme="majorHAnsi" w:hAnsiTheme="majorHAnsi" w:cstheme="majorHAnsi"/>
          <w:color w:val="000000"/>
          <w:sz w:val="22"/>
          <w:szCs w:val="22"/>
        </w:rPr>
        <w:t xml:space="preserve"> the Qualifying Exam</w:t>
      </w:r>
      <w:r w:rsidR="00031F7B" w:rsidRPr="00CF0CBB">
        <w:rPr>
          <w:rFonts w:asciiTheme="majorHAnsi" w:hAnsiTheme="majorHAnsi" w:cstheme="majorHAnsi"/>
          <w:color w:val="000000"/>
          <w:sz w:val="22"/>
          <w:szCs w:val="22"/>
        </w:rPr>
        <w:t xml:space="preserve">, </w:t>
      </w:r>
      <w:r w:rsidR="00F20B39" w:rsidRPr="00CF0CBB">
        <w:rPr>
          <w:rFonts w:asciiTheme="majorHAnsi" w:hAnsiTheme="majorHAnsi" w:cstheme="majorHAnsi"/>
          <w:color w:val="000000"/>
          <w:sz w:val="22"/>
          <w:szCs w:val="22"/>
        </w:rPr>
        <w:t>as mentioned above</w:t>
      </w:r>
      <w:r w:rsidR="00CF0CBB" w:rsidRPr="00CF0CBB">
        <w:rPr>
          <w:rFonts w:asciiTheme="majorHAnsi" w:hAnsiTheme="majorHAnsi" w:cstheme="majorHAnsi"/>
          <w:color w:val="000000"/>
          <w:sz w:val="22"/>
          <w:szCs w:val="22"/>
        </w:rPr>
        <w:t>,</w:t>
      </w:r>
      <w:r w:rsidR="00F20B39" w:rsidRPr="00CF0CBB">
        <w:rPr>
          <w:rFonts w:asciiTheme="majorHAnsi" w:hAnsiTheme="majorHAnsi" w:cstheme="majorHAnsi"/>
          <w:color w:val="000000"/>
          <w:sz w:val="22"/>
          <w:szCs w:val="22"/>
        </w:rPr>
        <w:t xml:space="preserve"> </w:t>
      </w:r>
      <w:r w:rsidR="00F61E83" w:rsidRPr="00CF0CBB">
        <w:rPr>
          <w:rFonts w:asciiTheme="majorHAnsi" w:hAnsiTheme="majorHAnsi" w:cstheme="majorHAnsi"/>
          <w:color w:val="000000"/>
          <w:sz w:val="22"/>
          <w:szCs w:val="22"/>
        </w:rPr>
        <w:t xml:space="preserve">the Thesis Committee will </w:t>
      </w:r>
      <w:r w:rsidR="008B6821" w:rsidRPr="00CF0CBB">
        <w:rPr>
          <w:rFonts w:asciiTheme="majorHAnsi" w:hAnsiTheme="majorHAnsi" w:cstheme="majorHAnsi"/>
          <w:color w:val="000000"/>
          <w:sz w:val="22"/>
          <w:szCs w:val="22"/>
        </w:rPr>
        <w:t>specify the requirements to pass the Exam, and will set</w:t>
      </w:r>
      <w:r w:rsidR="00E71203" w:rsidRPr="00CF0CBB">
        <w:rPr>
          <w:rFonts w:asciiTheme="majorHAnsi" w:hAnsiTheme="majorHAnsi" w:cstheme="majorHAnsi"/>
          <w:color w:val="000000"/>
          <w:sz w:val="22"/>
          <w:szCs w:val="22"/>
        </w:rPr>
        <w:t xml:space="preserve"> appropriate deadlines</w:t>
      </w:r>
      <w:r w:rsidR="00F61E83" w:rsidRPr="00CF0CBB">
        <w:rPr>
          <w:rFonts w:asciiTheme="majorHAnsi" w:hAnsiTheme="majorHAnsi" w:cstheme="majorHAnsi"/>
          <w:color w:val="000000"/>
          <w:sz w:val="22"/>
          <w:szCs w:val="22"/>
        </w:rPr>
        <w:t xml:space="preserve"> for completion of </w:t>
      </w:r>
      <w:r w:rsidR="008B6821" w:rsidRPr="00CF0CBB">
        <w:rPr>
          <w:rFonts w:asciiTheme="majorHAnsi" w:hAnsiTheme="majorHAnsi" w:cstheme="majorHAnsi"/>
          <w:color w:val="000000"/>
          <w:sz w:val="22"/>
          <w:szCs w:val="22"/>
        </w:rPr>
        <w:t>those</w:t>
      </w:r>
      <w:r w:rsidR="00F61E83" w:rsidRPr="00CF0CBB">
        <w:rPr>
          <w:rFonts w:asciiTheme="majorHAnsi" w:hAnsiTheme="majorHAnsi" w:cstheme="majorHAnsi"/>
          <w:color w:val="000000"/>
          <w:sz w:val="22"/>
          <w:szCs w:val="22"/>
        </w:rPr>
        <w:t xml:space="preserve"> requirements.  In the interim, the student will be placed on academic warning.</w:t>
      </w:r>
      <w:r w:rsidR="00D92638" w:rsidRPr="00CF0CBB">
        <w:rPr>
          <w:rFonts w:asciiTheme="majorHAnsi" w:hAnsiTheme="majorHAnsi" w:cstheme="majorHAnsi"/>
          <w:color w:val="000000"/>
          <w:sz w:val="22"/>
          <w:szCs w:val="22"/>
        </w:rPr>
        <w:t xml:space="preserve">  </w:t>
      </w:r>
      <w:r w:rsidR="003C261D" w:rsidRPr="00CF0CBB">
        <w:rPr>
          <w:rFonts w:asciiTheme="majorHAnsi" w:hAnsiTheme="majorHAnsi" w:cstheme="majorHAnsi"/>
          <w:color w:val="000000"/>
          <w:sz w:val="22"/>
          <w:szCs w:val="22"/>
        </w:rPr>
        <w:t>Failure</w:t>
      </w:r>
      <w:r w:rsidR="00D92638" w:rsidRPr="00CF0CBB">
        <w:rPr>
          <w:rFonts w:asciiTheme="majorHAnsi" w:hAnsiTheme="majorHAnsi" w:cstheme="majorHAnsi"/>
          <w:color w:val="000000"/>
          <w:sz w:val="22"/>
          <w:szCs w:val="22"/>
        </w:rPr>
        <w:t xml:space="preserve"> to pass the Qualifying Exam</w:t>
      </w:r>
      <w:r w:rsidR="003C261D" w:rsidRPr="00CF0CBB">
        <w:rPr>
          <w:rFonts w:asciiTheme="majorHAnsi" w:hAnsiTheme="majorHAnsi" w:cstheme="majorHAnsi"/>
          <w:color w:val="000000"/>
          <w:sz w:val="22"/>
          <w:szCs w:val="22"/>
        </w:rPr>
        <w:t xml:space="preserve">, or to meet the requirements of a </w:t>
      </w:r>
      <w:r w:rsidR="00CF0CBB" w:rsidRPr="00CF0CBB">
        <w:rPr>
          <w:rFonts w:asciiTheme="majorHAnsi" w:hAnsiTheme="majorHAnsi" w:cstheme="majorHAnsi"/>
          <w:color w:val="000000"/>
          <w:sz w:val="22"/>
          <w:szCs w:val="22"/>
        </w:rPr>
        <w:t>conditional</w:t>
      </w:r>
      <w:r w:rsidR="003C261D" w:rsidRPr="00CF0CBB">
        <w:rPr>
          <w:rFonts w:asciiTheme="majorHAnsi" w:hAnsiTheme="majorHAnsi" w:cstheme="majorHAnsi"/>
          <w:color w:val="000000"/>
          <w:sz w:val="22"/>
          <w:szCs w:val="22"/>
        </w:rPr>
        <w:t xml:space="preserve"> pass</w:t>
      </w:r>
      <w:r w:rsidR="00884291" w:rsidRPr="00CF0CBB">
        <w:rPr>
          <w:rFonts w:asciiTheme="majorHAnsi" w:hAnsiTheme="majorHAnsi" w:cstheme="majorHAnsi"/>
          <w:color w:val="000000"/>
          <w:sz w:val="22"/>
          <w:szCs w:val="22"/>
        </w:rPr>
        <w:t xml:space="preserve"> by the deadline</w:t>
      </w:r>
      <w:r w:rsidR="003C261D" w:rsidRPr="00CF0CBB">
        <w:rPr>
          <w:rFonts w:asciiTheme="majorHAnsi" w:hAnsiTheme="majorHAnsi" w:cstheme="majorHAnsi"/>
          <w:color w:val="000000"/>
          <w:sz w:val="22"/>
          <w:szCs w:val="22"/>
        </w:rPr>
        <w:t>,</w:t>
      </w:r>
      <w:r w:rsidR="00D92638" w:rsidRPr="00CF0CBB">
        <w:rPr>
          <w:rFonts w:asciiTheme="majorHAnsi" w:hAnsiTheme="majorHAnsi" w:cstheme="majorHAnsi"/>
          <w:color w:val="000000"/>
          <w:sz w:val="22"/>
          <w:szCs w:val="22"/>
        </w:rPr>
        <w:t xml:space="preserve"> is grounds for dismissal from the program.</w:t>
      </w:r>
    </w:p>
    <w:p w14:paraId="3223ACCA" w14:textId="77777777" w:rsidR="001475BD" w:rsidRPr="00725396" w:rsidRDefault="001475BD"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4EAE6992" w14:textId="77777777" w:rsidR="00533A88" w:rsidRPr="00725396" w:rsidRDefault="00533A88"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6596F546" w14:textId="4C03341A" w:rsidR="00800D93" w:rsidRPr="00725396" w:rsidRDefault="00E1542C"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r w:rsidRPr="00725396">
        <w:rPr>
          <w:rFonts w:asciiTheme="majorHAnsi" w:hAnsiTheme="majorHAnsi" w:cstheme="majorHAnsi"/>
          <w:b/>
          <w:color w:val="000000"/>
          <w:sz w:val="22"/>
          <w:szCs w:val="22"/>
        </w:rPr>
        <w:lastRenderedPageBreak/>
        <w:t>V.B.</w:t>
      </w:r>
      <w:r w:rsidRPr="00725396">
        <w:rPr>
          <w:rFonts w:asciiTheme="majorHAnsi" w:hAnsiTheme="majorHAnsi" w:cstheme="majorHAnsi"/>
          <w:b/>
          <w:i/>
          <w:color w:val="000000"/>
          <w:sz w:val="22"/>
          <w:szCs w:val="22"/>
        </w:rPr>
        <w:t xml:space="preserve">  </w:t>
      </w:r>
      <w:r w:rsidR="00800D93" w:rsidRPr="00725396">
        <w:rPr>
          <w:rFonts w:asciiTheme="majorHAnsi" w:hAnsiTheme="majorHAnsi" w:cstheme="majorHAnsi"/>
          <w:b/>
          <w:i/>
          <w:color w:val="000000"/>
          <w:sz w:val="22"/>
          <w:szCs w:val="22"/>
          <w:u w:val="single"/>
        </w:rPr>
        <w:t>Progress Reports between the Qualifying Exam and the Defense</w:t>
      </w:r>
      <w:r w:rsidR="00800D93" w:rsidRPr="00725396">
        <w:rPr>
          <w:rFonts w:asciiTheme="majorHAnsi" w:hAnsiTheme="majorHAnsi" w:cstheme="majorHAnsi"/>
          <w:color w:val="000000"/>
          <w:sz w:val="22"/>
          <w:szCs w:val="22"/>
        </w:rPr>
        <w:t xml:space="preserve">.  After completion of the Qualifying Examination, the student </w:t>
      </w:r>
      <w:r w:rsidR="00725396" w:rsidRPr="00725396">
        <w:rPr>
          <w:rFonts w:asciiTheme="majorHAnsi" w:hAnsiTheme="majorHAnsi" w:cstheme="majorHAnsi"/>
          <w:color w:val="000000"/>
          <w:sz w:val="22"/>
          <w:szCs w:val="22"/>
        </w:rPr>
        <w:t>discusses their progress</w:t>
      </w:r>
      <w:r w:rsidR="00800D93" w:rsidRPr="00725396">
        <w:rPr>
          <w:rFonts w:asciiTheme="majorHAnsi" w:hAnsiTheme="majorHAnsi" w:cstheme="majorHAnsi"/>
          <w:color w:val="000000"/>
          <w:sz w:val="22"/>
          <w:szCs w:val="22"/>
        </w:rPr>
        <w:t xml:space="preserve"> with the Thesis </w:t>
      </w:r>
      <w:r w:rsidR="00800D93" w:rsidRPr="00725396">
        <w:rPr>
          <w:rFonts w:asciiTheme="majorHAnsi" w:hAnsiTheme="majorHAnsi" w:cstheme="majorHAnsi"/>
          <w:sz w:val="22"/>
          <w:szCs w:val="22"/>
        </w:rPr>
        <w:t>Committee at least twice per year,</w:t>
      </w:r>
      <w:r w:rsidR="00800D93" w:rsidRPr="00725396">
        <w:rPr>
          <w:rFonts w:asciiTheme="majorHAnsi" w:hAnsiTheme="majorHAnsi" w:cstheme="majorHAnsi"/>
          <w:color w:val="000000"/>
          <w:sz w:val="22"/>
          <w:szCs w:val="22"/>
        </w:rPr>
        <w:t xml:space="preserve"> and progress reports will be submitted to the Graduate Program Director (with cc to the Program Coordinator), who may request meetings with the student, and/or Advisor or Thesis Committee, on an as-needed basis. </w:t>
      </w:r>
      <w:r w:rsidR="00EE6B81" w:rsidRPr="00725396">
        <w:rPr>
          <w:rFonts w:asciiTheme="majorHAnsi" w:hAnsiTheme="majorHAnsi" w:cstheme="majorHAnsi"/>
          <w:color w:val="000000"/>
          <w:sz w:val="22"/>
          <w:szCs w:val="22"/>
        </w:rPr>
        <w:t xml:space="preserve"> </w:t>
      </w:r>
      <w:r w:rsidR="00725396" w:rsidRPr="00725396">
        <w:rPr>
          <w:rFonts w:asciiTheme="majorHAnsi" w:hAnsiTheme="majorHAnsi" w:cstheme="majorHAnsi"/>
          <w:color w:val="000000"/>
          <w:sz w:val="22"/>
          <w:szCs w:val="22"/>
        </w:rPr>
        <w:t xml:space="preserve">One of the two progress discussions each year can be via email exchanges, but the other must be in-person or via Zoom or equivalent online platform.  </w:t>
      </w:r>
      <w:r w:rsidR="00EE6B81" w:rsidRPr="00725396">
        <w:rPr>
          <w:rFonts w:asciiTheme="majorHAnsi" w:hAnsiTheme="majorHAnsi" w:cstheme="majorHAnsi"/>
          <w:color w:val="000000"/>
          <w:sz w:val="22"/>
          <w:szCs w:val="22"/>
        </w:rPr>
        <w:t xml:space="preserve">Before each Thesis Committee meeting, the student will discuss recent progress and future goals </w:t>
      </w:r>
      <w:r w:rsidR="00807200" w:rsidRPr="00725396">
        <w:rPr>
          <w:rFonts w:asciiTheme="majorHAnsi" w:hAnsiTheme="majorHAnsi" w:cstheme="majorHAnsi"/>
          <w:color w:val="000000"/>
          <w:sz w:val="22"/>
          <w:szCs w:val="22"/>
        </w:rPr>
        <w:t xml:space="preserve">with </w:t>
      </w:r>
      <w:r w:rsidR="009733BC" w:rsidRPr="00725396">
        <w:rPr>
          <w:rFonts w:asciiTheme="majorHAnsi" w:hAnsiTheme="majorHAnsi" w:cstheme="majorHAnsi"/>
          <w:color w:val="000000"/>
          <w:sz w:val="22"/>
          <w:szCs w:val="22"/>
        </w:rPr>
        <w:t>the</w:t>
      </w:r>
      <w:r w:rsidR="00807200" w:rsidRPr="00725396">
        <w:rPr>
          <w:rFonts w:asciiTheme="majorHAnsi" w:hAnsiTheme="majorHAnsi" w:cstheme="majorHAnsi"/>
          <w:color w:val="000000"/>
          <w:sz w:val="22"/>
          <w:szCs w:val="22"/>
        </w:rPr>
        <w:t xml:space="preserve"> Thesis Advisor and then complete</w:t>
      </w:r>
      <w:r w:rsidR="00EE6B81" w:rsidRPr="00725396">
        <w:rPr>
          <w:rFonts w:asciiTheme="majorHAnsi" w:hAnsiTheme="majorHAnsi" w:cstheme="majorHAnsi"/>
          <w:color w:val="000000"/>
          <w:sz w:val="22"/>
          <w:szCs w:val="22"/>
        </w:rPr>
        <w:t xml:space="preserve"> a </w:t>
      </w:r>
      <w:r w:rsidR="00EE6B81" w:rsidRPr="00725396">
        <w:rPr>
          <w:rFonts w:asciiTheme="majorHAnsi" w:hAnsiTheme="majorHAnsi" w:cstheme="majorHAnsi"/>
          <w:b/>
          <w:i/>
          <w:color w:val="000000"/>
          <w:sz w:val="22"/>
          <w:szCs w:val="22"/>
        </w:rPr>
        <w:t>Committee Meeting Report Form</w:t>
      </w:r>
      <w:r w:rsidR="00807200" w:rsidRPr="00725396">
        <w:rPr>
          <w:rFonts w:asciiTheme="majorHAnsi" w:hAnsiTheme="majorHAnsi" w:cstheme="majorHAnsi"/>
          <w:color w:val="000000"/>
          <w:sz w:val="22"/>
          <w:szCs w:val="22"/>
        </w:rPr>
        <w:t xml:space="preserve"> to </w:t>
      </w:r>
      <w:r w:rsidR="00631708" w:rsidRPr="00725396">
        <w:rPr>
          <w:rFonts w:asciiTheme="majorHAnsi" w:hAnsiTheme="majorHAnsi" w:cstheme="majorHAnsi"/>
          <w:color w:val="000000"/>
          <w:sz w:val="22"/>
          <w:szCs w:val="22"/>
        </w:rPr>
        <w:t xml:space="preserve">present to the Thesis </w:t>
      </w:r>
      <w:r w:rsidR="00807200" w:rsidRPr="00725396">
        <w:rPr>
          <w:rFonts w:asciiTheme="majorHAnsi" w:hAnsiTheme="majorHAnsi" w:cstheme="majorHAnsi"/>
          <w:color w:val="000000"/>
          <w:sz w:val="22"/>
          <w:szCs w:val="22"/>
        </w:rPr>
        <w:t>Committee.  Sufficient space should be left in each box of the form for the Committee to modify or supplement the progress and goals statements.  The revised form will be signed by all Committee members in attendance (usually not including the outside reader</w:t>
      </w:r>
      <w:r w:rsidR="00692A6F" w:rsidRPr="00725396">
        <w:rPr>
          <w:rFonts w:asciiTheme="majorHAnsi" w:hAnsiTheme="majorHAnsi" w:cstheme="majorHAnsi"/>
          <w:color w:val="000000"/>
          <w:sz w:val="22"/>
          <w:szCs w:val="22"/>
        </w:rPr>
        <w:t>, although it is a good idea for this member to receive a copy</w:t>
      </w:r>
      <w:r w:rsidR="00807200" w:rsidRPr="00725396">
        <w:rPr>
          <w:rFonts w:asciiTheme="majorHAnsi" w:hAnsiTheme="majorHAnsi" w:cstheme="majorHAnsi"/>
          <w:color w:val="000000"/>
          <w:sz w:val="22"/>
          <w:szCs w:val="22"/>
        </w:rPr>
        <w:t>) and submitted to the Program Director and Program Coordinator.</w:t>
      </w:r>
      <w:r w:rsidR="00E00D65" w:rsidRPr="00725396">
        <w:rPr>
          <w:rFonts w:asciiTheme="majorHAnsi" w:hAnsiTheme="majorHAnsi" w:cstheme="majorHAnsi"/>
          <w:color w:val="000000"/>
          <w:sz w:val="22"/>
          <w:szCs w:val="22"/>
        </w:rPr>
        <w:t xml:space="preserve">  </w:t>
      </w:r>
      <w:r w:rsidR="00AF45C4" w:rsidRPr="00725396">
        <w:rPr>
          <w:rFonts w:asciiTheme="majorHAnsi" w:hAnsiTheme="majorHAnsi" w:cstheme="majorHAnsi"/>
          <w:color w:val="000000"/>
          <w:sz w:val="22"/>
          <w:szCs w:val="22"/>
        </w:rPr>
        <w:t xml:space="preserve">For electronic meetings, the Thesis Committee's approval of the report may be communicated via email. </w:t>
      </w:r>
      <w:r w:rsidR="00E74299" w:rsidRPr="00725396">
        <w:rPr>
          <w:rFonts w:asciiTheme="majorHAnsi" w:hAnsiTheme="majorHAnsi" w:cstheme="majorHAnsi"/>
          <w:color w:val="000000"/>
          <w:sz w:val="22"/>
          <w:szCs w:val="22"/>
        </w:rPr>
        <w:t xml:space="preserve"> </w:t>
      </w:r>
      <w:r w:rsidR="00E00D65" w:rsidRPr="00725396">
        <w:rPr>
          <w:rFonts w:asciiTheme="majorHAnsi" w:hAnsiTheme="majorHAnsi" w:cstheme="majorHAnsi"/>
          <w:color w:val="000000"/>
          <w:sz w:val="22"/>
          <w:szCs w:val="22"/>
        </w:rPr>
        <w:t xml:space="preserve">The blank form is accessible on the </w:t>
      </w:r>
      <w:r w:rsidR="00725396" w:rsidRPr="00725396">
        <w:rPr>
          <w:rFonts w:asciiTheme="majorHAnsi" w:hAnsiTheme="majorHAnsi" w:cstheme="majorHAnsi"/>
          <w:color w:val="000000"/>
          <w:sz w:val="22"/>
          <w:szCs w:val="22"/>
        </w:rPr>
        <w:t>TSGP</w:t>
      </w:r>
      <w:r w:rsidR="00E00D65" w:rsidRPr="00725396">
        <w:rPr>
          <w:rFonts w:asciiTheme="majorHAnsi" w:hAnsiTheme="majorHAnsi" w:cstheme="majorHAnsi"/>
          <w:color w:val="000000"/>
          <w:sz w:val="22"/>
          <w:szCs w:val="22"/>
        </w:rPr>
        <w:t xml:space="preserve"> website.</w:t>
      </w:r>
      <w:r w:rsidR="00024D0A" w:rsidRPr="00725396">
        <w:rPr>
          <w:rFonts w:asciiTheme="majorHAnsi" w:hAnsiTheme="majorHAnsi" w:cstheme="majorHAnsi"/>
          <w:color w:val="000000"/>
          <w:sz w:val="22"/>
          <w:szCs w:val="22"/>
        </w:rPr>
        <w:t xml:space="preserve">  It is the student's responsibility to make sure the progress meetings occur twice a year, on schedule</w:t>
      </w:r>
      <w:r w:rsidR="00DE51F9" w:rsidRPr="00725396">
        <w:rPr>
          <w:rFonts w:asciiTheme="majorHAnsi" w:hAnsiTheme="majorHAnsi" w:cstheme="majorHAnsi"/>
          <w:color w:val="000000"/>
          <w:sz w:val="22"/>
          <w:szCs w:val="22"/>
        </w:rPr>
        <w:t xml:space="preserve"> (approximately every 6 months)</w:t>
      </w:r>
      <w:r w:rsidR="00024D0A" w:rsidRPr="00725396">
        <w:rPr>
          <w:rFonts w:asciiTheme="majorHAnsi" w:hAnsiTheme="majorHAnsi" w:cstheme="majorHAnsi"/>
          <w:color w:val="000000"/>
          <w:sz w:val="22"/>
          <w:szCs w:val="22"/>
        </w:rPr>
        <w:t>.</w:t>
      </w:r>
    </w:p>
    <w:p w14:paraId="3ADD4880" w14:textId="77777777" w:rsidR="00C91159" w:rsidRPr="005E4866" w:rsidRDefault="00C91159"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7A23314C" w14:textId="77777777" w:rsidR="00D43460" w:rsidRPr="005E4866" w:rsidRDefault="00D43460" w:rsidP="001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sz w:val="22"/>
          <w:szCs w:val="22"/>
        </w:rPr>
      </w:pPr>
    </w:p>
    <w:p w14:paraId="77004402" w14:textId="161C2B55" w:rsidR="001475BD" w:rsidRPr="005E4866" w:rsidRDefault="00374940" w:rsidP="00353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r w:rsidRPr="005E4866">
        <w:rPr>
          <w:rFonts w:asciiTheme="majorHAnsi" w:hAnsiTheme="majorHAnsi" w:cstheme="majorHAnsi"/>
          <w:b/>
          <w:color w:val="000000"/>
          <w:sz w:val="22"/>
          <w:szCs w:val="22"/>
        </w:rPr>
        <w:t>V.C.</w:t>
      </w:r>
      <w:r w:rsidRPr="005E4866">
        <w:rPr>
          <w:rFonts w:asciiTheme="majorHAnsi" w:hAnsiTheme="majorHAnsi" w:cstheme="majorHAnsi"/>
          <w:b/>
          <w:i/>
          <w:color w:val="000000"/>
          <w:sz w:val="22"/>
          <w:szCs w:val="22"/>
        </w:rPr>
        <w:t xml:space="preserve">  </w:t>
      </w:r>
      <w:r w:rsidR="00E83DAD" w:rsidRPr="005E4866">
        <w:rPr>
          <w:rFonts w:asciiTheme="majorHAnsi" w:hAnsiTheme="majorHAnsi" w:cstheme="majorHAnsi"/>
          <w:b/>
          <w:i/>
          <w:color w:val="000000"/>
          <w:sz w:val="22"/>
          <w:szCs w:val="22"/>
          <w:u w:val="single"/>
        </w:rPr>
        <w:t>Dissertation (Thesis) and Doctoral Defense</w:t>
      </w:r>
      <w:r w:rsidR="007365B0" w:rsidRPr="005E4866">
        <w:rPr>
          <w:rFonts w:asciiTheme="majorHAnsi" w:hAnsiTheme="majorHAnsi" w:cstheme="majorHAnsi"/>
          <w:b/>
          <w:i/>
          <w:color w:val="000000"/>
          <w:sz w:val="22"/>
          <w:szCs w:val="22"/>
        </w:rPr>
        <w:t>.</w:t>
      </w:r>
      <w:r w:rsidR="007365B0" w:rsidRPr="005E4866">
        <w:rPr>
          <w:rFonts w:asciiTheme="majorHAnsi" w:hAnsiTheme="majorHAnsi" w:cstheme="majorHAnsi"/>
          <w:color w:val="000000"/>
          <w:sz w:val="22"/>
          <w:szCs w:val="22"/>
        </w:rPr>
        <w:t xml:space="preserve">  T</w:t>
      </w:r>
      <w:r w:rsidR="001475BD" w:rsidRPr="005E4866">
        <w:rPr>
          <w:rFonts w:asciiTheme="majorHAnsi" w:hAnsiTheme="majorHAnsi" w:cstheme="majorHAnsi"/>
          <w:color w:val="000000"/>
          <w:sz w:val="22"/>
          <w:szCs w:val="22"/>
        </w:rPr>
        <w:t xml:space="preserve">ypically, the </w:t>
      </w:r>
      <w:r w:rsidR="001475BD" w:rsidRPr="005E4866">
        <w:rPr>
          <w:rFonts w:asciiTheme="majorHAnsi" w:hAnsiTheme="majorHAnsi" w:cstheme="majorHAnsi"/>
          <w:b/>
          <w:i/>
          <w:color w:val="000000"/>
          <w:sz w:val="22"/>
          <w:szCs w:val="22"/>
        </w:rPr>
        <w:t>Final Defense</w:t>
      </w:r>
      <w:r w:rsidR="001475BD" w:rsidRPr="005E4866">
        <w:rPr>
          <w:rFonts w:asciiTheme="majorHAnsi" w:hAnsiTheme="majorHAnsi" w:cstheme="majorHAnsi"/>
          <w:color w:val="000000"/>
          <w:sz w:val="22"/>
          <w:szCs w:val="22"/>
        </w:rPr>
        <w:t xml:space="preserve"> of the </w:t>
      </w:r>
      <w:r w:rsidR="00FD7A5A" w:rsidRPr="005E4866">
        <w:rPr>
          <w:rFonts w:asciiTheme="majorHAnsi" w:hAnsiTheme="majorHAnsi" w:cstheme="majorHAnsi"/>
          <w:color w:val="000000"/>
          <w:sz w:val="22"/>
          <w:szCs w:val="22"/>
        </w:rPr>
        <w:t>PhD</w:t>
      </w:r>
      <w:r w:rsidR="001475BD" w:rsidRPr="005E4866">
        <w:rPr>
          <w:rFonts w:asciiTheme="majorHAnsi" w:hAnsiTheme="majorHAnsi" w:cstheme="majorHAnsi"/>
          <w:color w:val="000000"/>
          <w:sz w:val="22"/>
          <w:szCs w:val="22"/>
        </w:rPr>
        <w:t xml:space="preserve"> occurs in the fourth or fifth year of graduate study.  </w:t>
      </w:r>
      <w:r w:rsidR="001475BD" w:rsidRPr="005E4866">
        <w:rPr>
          <w:rFonts w:asciiTheme="majorHAnsi" w:hAnsiTheme="majorHAnsi" w:cstheme="majorHAnsi"/>
          <w:b/>
          <w:i/>
          <w:sz w:val="22"/>
          <w:szCs w:val="22"/>
        </w:rPr>
        <w:t xml:space="preserve">Each student is required to have a </w:t>
      </w:r>
      <w:r w:rsidR="000E2775" w:rsidRPr="005E4866">
        <w:rPr>
          <w:rFonts w:asciiTheme="majorHAnsi" w:hAnsiTheme="majorHAnsi" w:cstheme="majorHAnsi"/>
          <w:b/>
          <w:i/>
          <w:sz w:val="22"/>
          <w:szCs w:val="22"/>
        </w:rPr>
        <w:t>P</w:t>
      </w:r>
      <w:r w:rsidR="001475BD" w:rsidRPr="005E4866">
        <w:rPr>
          <w:rFonts w:asciiTheme="majorHAnsi" w:hAnsiTheme="majorHAnsi" w:cstheme="majorHAnsi"/>
          <w:b/>
          <w:i/>
          <w:sz w:val="22"/>
          <w:szCs w:val="22"/>
        </w:rPr>
        <w:t xml:space="preserve">re-defense </w:t>
      </w:r>
      <w:r w:rsidR="000E2775" w:rsidRPr="005E4866">
        <w:rPr>
          <w:rFonts w:asciiTheme="majorHAnsi" w:hAnsiTheme="majorHAnsi" w:cstheme="majorHAnsi"/>
          <w:b/>
          <w:i/>
          <w:sz w:val="22"/>
          <w:szCs w:val="22"/>
        </w:rPr>
        <w:t>M</w:t>
      </w:r>
      <w:r w:rsidR="001475BD" w:rsidRPr="005E4866">
        <w:rPr>
          <w:rFonts w:asciiTheme="majorHAnsi" w:hAnsiTheme="majorHAnsi" w:cstheme="majorHAnsi"/>
          <w:b/>
          <w:i/>
          <w:sz w:val="22"/>
          <w:szCs w:val="22"/>
        </w:rPr>
        <w:t xml:space="preserve">eeting with </w:t>
      </w:r>
      <w:r w:rsidR="006B34F5" w:rsidRPr="005E4866">
        <w:rPr>
          <w:rFonts w:asciiTheme="majorHAnsi" w:hAnsiTheme="majorHAnsi" w:cstheme="majorHAnsi"/>
          <w:b/>
          <w:i/>
          <w:sz w:val="22"/>
          <w:szCs w:val="22"/>
        </w:rPr>
        <w:t>the</w:t>
      </w:r>
      <w:r w:rsidR="001475BD" w:rsidRPr="005E4866">
        <w:rPr>
          <w:rFonts w:asciiTheme="majorHAnsi" w:hAnsiTheme="majorHAnsi" w:cstheme="majorHAnsi"/>
          <w:b/>
          <w:i/>
          <w:sz w:val="22"/>
          <w:szCs w:val="22"/>
        </w:rPr>
        <w:t xml:space="preserve"> Thesis Committee 1-3 months before the defense.</w:t>
      </w:r>
      <w:r w:rsidR="001475BD" w:rsidRPr="005E4866">
        <w:rPr>
          <w:rFonts w:asciiTheme="majorHAnsi" w:hAnsiTheme="majorHAnsi" w:cstheme="majorHAnsi"/>
          <w:sz w:val="22"/>
          <w:szCs w:val="22"/>
        </w:rPr>
        <w:t xml:space="preserve">  The thesis should be in near final form by this point and the student will make an oral presentation to the committee and be questioned</w:t>
      </w:r>
      <w:r w:rsidR="00E83DAD" w:rsidRPr="005E4866">
        <w:rPr>
          <w:rFonts w:asciiTheme="majorHAnsi" w:hAnsiTheme="majorHAnsi" w:cstheme="majorHAnsi"/>
          <w:sz w:val="22"/>
          <w:szCs w:val="22"/>
        </w:rPr>
        <w:t xml:space="preserve"> about the project, thesis and relevant background</w:t>
      </w:r>
      <w:r w:rsidR="001475BD" w:rsidRPr="005E4866">
        <w:rPr>
          <w:rFonts w:asciiTheme="majorHAnsi" w:hAnsiTheme="majorHAnsi" w:cstheme="majorHAnsi"/>
          <w:sz w:val="22"/>
          <w:szCs w:val="22"/>
        </w:rPr>
        <w:t xml:space="preserve">.  After approval of the </w:t>
      </w:r>
      <w:r w:rsidR="006B34F5" w:rsidRPr="005E4866">
        <w:rPr>
          <w:rFonts w:asciiTheme="majorHAnsi" w:hAnsiTheme="majorHAnsi" w:cstheme="majorHAnsi"/>
          <w:sz w:val="22"/>
          <w:szCs w:val="22"/>
        </w:rPr>
        <w:t xml:space="preserve">planned </w:t>
      </w:r>
      <w:r w:rsidR="001475BD" w:rsidRPr="005E4866">
        <w:rPr>
          <w:rFonts w:asciiTheme="majorHAnsi" w:hAnsiTheme="majorHAnsi" w:cstheme="majorHAnsi"/>
          <w:sz w:val="22"/>
          <w:szCs w:val="22"/>
        </w:rPr>
        <w:t xml:space="preserve">thesis following this meeting, the student will schedule </w:t>
      </w:r>
      <w:r w:rsidR="006B34F5" w:rsidRPr="005E4866">
        <w:rPr>
          <w:rFonts w:asciiTheme="majorHAnsi" w:hAnsiTheme="majorHAnsi" w:cstheme="majorHAnsi"/>
          <w:sz w:val="22"/>
          <w:szCs w:val="22"/>
        </w:rPr>
        <w:t>the</w:t>
      </w:r>
      <w:r w:rsidR="001475BD" w:rsidRPr="005E4866">
        <w:rPr>
          <w:rFonts w:asciiTheme="majorHAnsi" w:hAnsiTheme="majorHAnsi" w:cstheme="majorHAnsi"/>
          <w:sz w:val="22"/>
          <w:szCs w:val="22"/>
        </w:rPr>
        <w:t xml:space="preserve"> Final Defense in preparation for graduation.  The Thesis has the standard format and must meet the requirements of the Brown University Graduate School. </w:t>
      </w:r>
      <w:r w:rsidR="004576F8" w:rsidRPr="005E4866">
        <w:rPr>
          <w:rFonts w:asciiTheme="majorHAnsi" w:hAnsiTheme="majorHAnsi" w:cstheme="majorHAnsi"/>
          <w:sz w:val="22"/>
          <w:szCs w:val="22"/>
        </w:rPr>
        <w:t xml:space="preserve"> </w:t>
      </w:r>
      <w:r w:rsidR="001475BD" w:rsidRPr="005E4866">
        <w:rPr>
          <w:rFonts w:asciiTheme="majorHAnsi" w:hAnsiTheme="majorHAnsi" w:cstheme="majorHAnsi"/>
          <w:sz w:val="22"/>
          <w:szCs w:val="22"/>
        </w:rPr>
        <w:t xml:space="preserve">The written thesis is delivered to the Thesis Committee members </w:t>
      </w:r>
      <w:r w:rsidR="004576F8" w:rsidRPr="005E4866">
        <w:rPr>
          <w:rFonts w:asciiTheme="majorHAnsi" w:hAnsiTheme="majorHAnsi" w:cstheme="majorHAnsi"/>
          <w:sz w:val="22"/>
          <w:szCs w:val="22"/>
        </w:rPr>
        <w:t xml:space="preserve">at least </w:t>
      </w:r>
      <w:r w:rsidR="001475BD" w:rsidRPr="005E4866">
        <w:rPr>
          <w:rFonts w:asciiTheme="majorHAnsi" w:hAnsiTheme="majorHAnsi" w:cstheme="majorHAnsi"/>
          <w:sz w:val="22"/>
          <w:szCs w:val="22"/>
        </w:rPr>
        <w:t xml:space="preserve">two weeks prior to the </w:t>
      </w:r>
      <w:r w:rsidR="004576F8" w:rsidRPr="005E4866">
        <w:rPr>
          <w:rFonts w:asciiTheme="majorHAnsi" w:hAnsiTheme="majorHAnsi" w:cstheme="majorHAnsi"/>
          <w:sz w:val="22"/>
          <w:szCs w:val="22"/>
        </w:rPr>
        <w:t>D</w:t>
      </w:r>
      <w:r w:rsidR="001475BD" w:rsidRPr="005E4866">
        <w:rPr>
          <w:rFonts w:asciiTheme="majorHAnsi" w:hAnsiTheme="majorHAnsi" w:cstheme="majorHAnsi"/>
          <w:sz w:val="22"/>
          <w:szCs w:val="22"/>
        </w:rPr>
        <w:t xml:space="preserve">efense. </w:t>
      </w:r>
      <w:r w:rsidR="00F75F19" w:rsidRPr="005E4866">
        <w:rPr>
          <w:rFonts w:asciiTheme="majorHAnsi" w:hAnsiTheme="majorHAnsi" w:cstheme="majorHAnsi"/>
          <w:sz w:val="22"/>
          <w:szCs w:val="22"/>
        </w:rPr>
        <w:t xml:space="preserve"> </w:t>
      </w:r>
      <w:r w:rsidR="001475BD" w:rsidRPr="005E4866">
        <w:rPr>
          <w:rFonts w:asciiTheme="majorHAnsi" w:hAnsiTheme="majorHAnsi" w:cstheme="majorHAnsi"/>
          <w:sz w:val="22"/>
          <w:szCs w:val="22"/>
        </w:rPr>
        <w:t>The Thesis Defense is held as a public lecture, followed by a closed</w:t>
      </w:r>
      <w:r w:rsidR="004576F8" w:rsidRPr="005E4866">
        <w:rPr>
          <w:rFonts w:asciiTheme="majorHAnsi" w:hAnsiTheme="majorHAnsi" w:cstheme="majorHAnsi"/>
          <w:sz w:val="22"/>
          <w:szCs w:val="22"/>
        </w:rPr>
        <w:t>-</w:t>
      </w:r>
      <w:r w:rsidR="001475BD" w:rsidRPr="005E4866">
        <w:rPr>
          <w:rFonts w:asciiTheme="majorHAnsi" w:hAnsiTheme="majorHAnsi" w:cstheme="majorHAnsi"/>
          <w:sz w:val="22"/>
          <w:szCs w:val="22"/>
        </w:rPr>
        <w:t>door examination open to all Brown faculty members</w:t>
      </w:r>
      <w:r w:rsidR="004576F8" w:rsidRPr="005E4866">
        <w:rPr>
          <w:rFonts w:asciiTheme="majorHAnsi" w:hAnsiTheme="majorHAnsi" w:cstheme="majorHAnsi"/>
          <w:sz w:val="22"/>
          <w:szCs w:val="22"/>
        </w:rPr>
        <w:t>,</w:t>
      </w:r>
      <w:r w:rsidR="001475BD" w:rsidRPr="005E4866">
        <w:rPr>
          <w:rFonts w:asciiTheme="majorHAnsi" w:hAnsiTheme="majorHAnsi" w:cstheme="majorHAnsi"/>
          <w:sz w:val="22"/>
          <w:szCs w:val="22"/>
        </w:rPr>
        <w:t xml:space="preserve"> with required attendance by the Thesis Committee</w:t>
      </w:r>
      <w:r w:rsidR="000E2775" w:rsidRPr="005E4866">
        <w:rPr>
          <w:rFonts w:asciiTheme="majorHAnsi" w:hAnsiTheme="majorHAnsi" w:cstheme="majorHAnsi"/>
          <w:sz w:val="22"/>
          <w:szCs w:val="22"/>
        </w:rPr>
        <w:t>, including its external member ("outside reader")</w:t>
      </w:r>
      <w:r w:rsidR="001475BD" w:rsidRPr="005E4866">
        <w:rPr>
          <w:rFonts w:asciiTheme="majorHAnsi" w:hAnsiTheme="majorHAnsi" w:cstheme="majorHAnsi"/>
          <w:sz w:val="22"/>
          <w:szCs w:val="22"/>
        </w:rPr>
        <w:t>.</w:t>
      </w:r>
      <w:r w:rsidR="000E2775" w:rsidRPr="005E4866">
        <w:rPr>
          <w:rFonts w:asciiTheme="majorHAnsi" w:hAnsiTheme="majorHAnsi" w:cstheme="majorHAnsi"/>
          <w:sz w:val="22"/>
          <w:szCs w:val="22"/>
        </w:rPr>
        <w:t xml:space="preserve">  Although the outside reader is not required to attend the Qualifying Exam or Pre-defense Meeting, early involvement of this committee member is in the best interest of the student; if the outside reader gives feedback on the Thesis Proposal </w:t>
      </w:r>
      <w:r w:rsidR="006B34F5" w:rsidRPr="005E4866">
        <w:rPr>
          <w:rFonts w:asciiTheme="majorHAnsi" w:hAnsiTheme="majorHAnsi" w:cstheme="majorHAnsi"/>
          <w:sz w:val="22"/>
          <w:szCs w:val="22"/>
        </w:rPr>
        <w:t xml:space="preserve">around the time of the Qualifying Exam, </w:t>
      </w:r>
      <w:r w:rsidR="000E2775" w:rsidRPr="005E4866">
        <w:rPr>
          <w:rFonts w:asciiTheme="majorHAnsi" w:hAnsiTheme="majorHAnsi" w:cstheme="majorHAnsi"/>
          <w:sz w:val="22"/>
          <w:szCs w:val="22"/>
        </w:rPr>
        <w:t>and on the Thesis prior to the Defense, there will be a much lower chance of surprise criticisms for the student.</w:t>
      </w:r>
      <w:r w:rsidR="00E069C4" w:rsidRPr="005E4866">
        <w:rPr>
          <w:rFonts w:asciiTheme="majorHAnsi" w:hAnsiTheme="majorHAnsi" w:cstheme="majorHAnsi"/>
          <w:sz w:val="22"/>
          <w:szCs w:val="22"/>
        </w:rPr>
        <w:t xml:space="preserve">  Failure of the Defense is grounds for dismissal from the program.</w:t>
      </w:r>
    </w:p>
    <w:p w14:paraId="39C464F0" w14:textId="77777777" w:rsidR="00D62557" w:rsidRPr="00706918" w:rsidRDefault="00D62557" w:rsidP="00353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p w14:paraId="75F50DC9" w14:textId="24DEE5A2" w:rsidR="008F624C" w:rsidRPr="00706918" w:rsidRDefault="00D62557" w:rsidP="00B5560C">
      <w:pPr>
        <w:jc w:val="both"/>
        <w:rPr>
          <w:rFonts w:asciiTheme="majorHAnsi" w:hAnsiTheme="majorHAnsi" w:cstheme="majorHAnsi"/>
          <w:b/>
          <w:i/>
          <w:color w:val="2F2A20"/>
          <w:sz w:val="22"/>
          <w:szCs w:val="22"/>
          <w:shd w:val="clear" w:color="auto" w:fill="FFFFFF"/>
        </w:rPr>
      </w:pPr>
      <w:r w:rsidRPr="00706918">
        <w:rPr>
          <w:rFonts w:asciiTheme="majorHAnsi" w:hAnsiTheme="majorHAnsi" w:cstheme="majorHAnsi"/>
          <w:b/>
          <w:i/>
          <w:sz w:val="22"/>
          <w:szCs w:val="22"/>
        </w:rPr>
        <w:t xml:space="preserve">The </w:t>
      </w:r>
      <w:r w:rsidR="00D32342" w:rsidRPr="00706918">
        <w:rPr>
          <w:rFonts w:asciiTheme="majorHAnsi" w:hAnsiTheme="majorHAnsi" w:cstheme="majorHAnsi"/>
          <w:b/>
          <w:i/>
          <w:sz w:val="22"/>
          <w:szCs w:val="22"/>
        </w:rPr>
        <w:t>Thesis</w:t>
      </w:r>
      <w:r w:rsidRPr="00706918">
        <w:rPr>
          <w:rFonts w:asciiTheme="majorHAnsi" w:hAnsiTheme="majorHAnsi" w:cstheme="majorHAnsi"/>
          <w:b/>
          <w:i/>
          <w:sz w:val="22"/>
          <w:szCs w:val="22"/>
        </w:rPr>
        <w:t xml:space="preserve"> </w:t>
      </w:r>
      <w:r w:rsidR="005B5534" w:rsidRPr="00706918">
        <w:rPr>
          <w:rFonts w:asciiTheme="majorHAnsi" w:hAnsiTheme="majorHAnsi" w:cstheme="majorHAnsi"/>
          <w:b/>
          <w:i/>
          <w:sz w:val="22"/>
          <w:szCs w:val="22"/>
        </w:rPr>
        <w:t>must</w:t>
      </w:r>
      <w:r w:rsidRPr="00706918">
        <w:rPr>
          <w:rFonts w:asciiTheme="majorHAnsi" w:hAnsiTheme="majorHAnsi" w:cstheme="majorHAnsi"/>
          <w:b/>
          <w:i/>
          <w:sz w:val="22"/>
          <w:szCs w:val="22"/>
        </w:rPr>
        <w:t xml:space="preserve"> include</w:t>
      </w:r>
      <w:r w:rsidRPr="00706918">
        <w:rPr>
          <w:rFonts w:asciiTheme="majorHAnsi" w:hAnsiTheme="majorHAnsi" w:cstheme="majorHAnsi"/>
          <w:sz w:val="22"/>
          <w:szCs w:val="22"/>
        </w:rPr>
        <w:t xml:space="preserve"> </w:t>
      </w:r>
      <w:r w:rsidR="003123E2" w:rsidRPr="00706918">
        <w:rPr>
          <w:rFonts w:asciiTheme="majorHAnsi" w:hAnsiTheme="majorHAnsi" w:cstheme="majorHAnsi"/>
          <w:sz w:val="22"/>
          <w:szCs w:val="22"/>
        </w:rPr>
        <w:t xml:space="preserve">an </w:t>
      </w:r>
      <w:r w:rsidR="00226401" w:rsidRPr="00706918">
        <w:rPr>
          <w:rFonts w:asciiTheme="majorHAnsi" w:hAnsiTheme="majorHAnsi" w:cstheme="majorHAnsi"/>
          <w:sz w:val="22"/>
          <w:szCs w:val="22"/>
        </w:rPr>
        <w:t>Abstract</w:t>
      </w:r>
      <w:r w:rsidR="005B5534" w:rsidRPr="00706918">
        <w:rPr>
          <w:rFonts w:asciiTheme="majorHAnsi" w:hAnsiTheme="majorHAnsi" w:cstheme="majorHAnsi"/>
          <w:sz w:val="22"/>
          <w:szCs w:val="22"/>
        </w:rPr>
        <w:t xml:space="preserve">, a </w:t>
      </w:r>
      <w:r w:rsidRPr="00706918">
        <w:rPr>
          <w:rFonts w:asciiTheme="majorHAnsi" w:hAnsiTheme="majorHAnsi" w:cstheme="majorHAnsi"/>
          <w:sz w:val="22"/>
          <w:szCs w:val="22"/>
        </w:rPr>
        <w:t>general Introduction chapter, Results chapters, and a general Discussion chapter</w:t>
      </w:r>
      <w:r w:rsidR="005B5534" w:rsidRPr="00706918">
        <w:rPr>
          <w:rFonts w:asciiTheme="majorHAnsi" w:hAnsiTheme="majorHAnsi" w:cstheme="majorHAnsi"/>
          <w:sz w:val="22"/>
          <w:szCs w:val="22"/>
        </w:rPr>
        <w:t>, in addition to other appropriate sections (</w:t>
      </w:r>
      <w:r w:rsidR="005E4866" w:rsidRPr="00706918">
        <w:rPr>
          <w:rFonts w:asciiTheme="majorHAnsi" w:hAnsiTheme="majorHAnsi" w:cstheme="majorHAnsi"/>
          <w:sz w:val="22"/>
          <w:szCs w:val="22"/>
        </w:rPr>
        <w:t>bibliography;</w:t>
      </w:r>
      <w:r w:rsidR="005B5534" w:rsidRPr="00706918">
        <w:rPr>
          <w:rFonts w:asciiTheme="majorHAnsi" w:hAnsiTheme="majorHAnsi" w:cstheme="majorHAnsi"/>
          <w:sz w:val="22"/>
          <w:szCs w:val="22"/>
        </w:rPr>
        <w:t xml:space="preserve"> table of contents</w:t>
      </w:r>
      <w:r w:rsidR="005E4866" w:rsidRPr="00706918">
        <w:rPr>
          <w:rFonts w:asciiTheme="majorHAnsi" w:hAnsiTheme="majorHAnsi" w:cstheme="majorHAnsi"/>
          <w:sz w:val="22"/>
          <w:szCs w:val="22"/>
        </w:rPr>
        <w:t>;</w:t>
      </w:r>
      <w:r w:rsidR="005B5534" w:rsidRPr="00706918">
        <w:rPr>
          <w:rFonts w:asciiTheme="majorHAnsi" w:hAnsiTheme="majorHAnsi" w:cstheme="majorHAnsi"/>
          <w:sz w:val="22"/>
          <w:szCs w:val="22"/>
        </w:rPr>
        <w:t xml:space="preserve"> </w:t>
      </w:r>
      <w:r w:rsidR="005E4866" w:rsidRPr="00706918">
        <w:rPr>
          <w:rFonts w:asciiTheme="majorHAnsi" w:hAnsiTheme="majorHAnsi" w:cstheme="majorHAnsi"/>
          <w:sz w:val="22"/>
          <w:szCs w:val="22"/>
        </w:rPr>
        <w:t xml:space="preserve">and if desired, definitions of abbreviations and a list of figures, </w:t>
      </w:r>
      <w:r w:rsidR="005B5534" w:rsidRPr="00706918">
        <w:rPr>
          <w:rFonts w:asciiTheme="majorHAnsi" w:hAnsiTheme="majorHAnsi" w:cstheme="majorHAnsi"/>
          <w:sz w:val="22"/>
          <w:szCs w:val="22"/>
        </w:rPr>
        <w:t>etc.)</w:t>
      </w:r>
      <w:r w:rsidRPr="00706918">
        <w:rPr>
          <w:rFonts w:asciiTheme="majorHAnsi" w:hAnsiTheme="majorHAnsi" w:cstheme="majorHAnsi"/>
          <w:sz w:val="22"/>
          <w:szCs w:val="22"/>
        </w:rPr>
        <w:t xml:space="preserve">.  </w:t>
      </w:r>
      <w:r w:rsidR="00226401" w:rsidRPr="00706918">
        <w:rPr>
          <w:rFonts w:asciiTheme="majorHAnsi" w:hAnsiTheme="majorHAnsi" w:cstheme="majorHAnsi"/>
          <w:sz w:val="22"/>
          <w:szCs w:val="22"/>
        </w:rPr>
        <w:t xml:space="preserve">Most theses also include a general Methods chapter, but some describe the methods within each Results chapter.  </w:t>
      </w:r>
      <w:r w:rsidR="00410B41" w:rsidRPr="00706918">
        <w:rPr>
          <w:rFonts w:asciiTheme="majorHAnsi" w:hAnsiTheme="majorHAnsi" w:cstheme="majorHAnsi"/>
          <w:sz w:val="22"/>
          <w:szCs w:val="22"/>
        </w:rPr>
        <w:t>Some or all of t</w:t>
      </w:r>
      <w:r w:rsidRPr="00706918">
        <w:rPr>
          <w:rFonts w:asciiTheme="majorHAnsi" w:hAnsiTheme="majorHAnsi" w:cstheme="majorHAnsi"/>
          <w:sz w:val="22"/>
          <w:szCs w:val="22"/>
        </w:rPr>
        <w:t xml:space="preserve">he Results chapters can be simply the </w:t>
      </w:r>
      <w:r w:rsidR="00410B41" w:rsidRPr="00706918">
        <w:rPr>
          <w:rFonts w:asciiTheme="majorHAnsi" w:hAnsiTheme="majorHAnsi" w:cstheme="majorHAnsi"/>
          <w:sz w:val="22"/>
          <w:szCs w:val="22"/>
        </w:rPr>
        <w:t>published or submitted manuscripts</w:t>
      </w:r>
      <w:r w:rsidR="005B5534" w:rsidRPr="00706918">
        <w:rPr>
          <w:rFonts w:asciiTheme="majorHAnsi" w:hAnsiTheme="majorHAnsi" w:cstheme="majorHAnsi"/>
          <w:sz w:val="22"/>
          <w:szCs w:val="22"/>
        </w:rPr>
        <w:t xml:space="preserve"> reformatted for the Thesis (double-spaced, correct margins, etc.)</w:t>
      </w:r>
      <w:r w:rsidR="00410B41" w:rsidRPr="00706918">
        <w:rPr>
          <w:rFonts w:asciiTheme="majorHAnsi" w:hAnsiTheme="majorHAnsi" w:cstheme="majorHAnsi"/>
          <w:sz w:val="22"/>
          <w:szCs w:val="22"/>
        </w:rPr>
        <w:t>.  If so, they may contain all the usual components</w:t>
      </w:r>
      <w:r w:rsidR="00436F23" w:rsidRPr="00706918">
        <w:rPr>
          <w:rFonts w:asciiTheme="majorHAnsi" w:hAnsiTheme="majorHAnsi" w:cstheme="majorHAnsi"/>
          <w:sz w:val="22"/>
          <w:szCs w:val="22"/>
        </w:rPr>
        <w:t xml:space="preserve"> of a published paper</w:t>
      </w:r>
      <w:r w:rsidR="00410B41" w:rsidRPr="00706918">
        <w:rPr>
          <w:rFonts w:asciiTheme="majorHAnsi" w:hAnsiTheme="majorHAnsi" w:cstheme="majorHAnsi"/>
          <w:sz w:val="22"/>
          <w:szCs w:val="22"/>
        </w:rPr>
        <w:t xml:space="preserve">, including their own brief introductions, methods, results and discussions.  However, these short sections </w:t>
      </w:r>
      <w:r w:rsidR="005B5534" w:rsidRPr="00706918">
        <w:rPr>
          <w:rFonts w:asciiTheme="majorHAnsi" w:hAnsiTheme="majorHAnsi" w:cstheme="majorHAnsi"/>
          <w:sz w:val="22"/>
          <w:szCs w:val="22"/>
        </w:rPr>
        <w:t xml:space="preserve">within each Results chapter </w:t>
      </w:r>
      <w:r w:rsidR="00410B41" w:rsidRPr="00706918">
        <w:rPr>
          <w:rFonts w:asciiTheme="majorHAnsi" w:hAnsiTheme="majorHAnsi" w:cstheme="majorHAnsi"/>
          <w:sz w:val="22"/>
          <w:szCs w:val="22"/>
        </w:rPr>
        <w:t>do not obviate the need for the general chapters mentioned above</w:t>
      </w:r>
      <w:r w:rsidR="00BF52BF" w:rsidRPr="00706918">
        <w:rPr>
          <w:rFonts w:asciiTheme="majorHAnsi" w:hAnsiTheme="majorHAnsi" w:cstheme="majorHAnsi"/>
          <w:sz w:val="22"/>
          <w:szCs w:val="22"/>
        </w:rPr>
        <w:t>, which focus on the entire body of work (</w:t>
      </w:r>
      <w:r w:rsidR="00BF52BF" w:rsidRPr="00706918">
        <w:rPr>
          <w:rFonts w:asciiTheme="majorHAnsi" w:hAnsiTheme="majorHAnsi" w:cstheme="majorHAnsi"/>
          <w:b/>
          <w:i/>
          <w:sz w:val="22"/>
          <w:szCs w:val="22"/>
        </w:rPr>
        <w:t>all</w:t>
      </w:r>
      <w:r w:rsidR="00BF52BF" w:rsidRPr="00706918">
        <w:rPr>
          <w:rFonts w:asciiTheme="majorHAnsi" w:hAnsiTheme="majorHAnsi" w:cstheme="majorHAnsi"/>
          <w:sz w:val="22"/>
          <w:szCs w:val="22"/>
        </w:rPr>
        <w:t xml:space="preserve"> results) and its relation to </w:t>
      </w:r>
      <w:r w:rsidR="005E4866" w:rsidRPr="00706918">
        <w:rPr>
          <w:rFonts w:asciiTheme="majorHAnsi" w:hAnsiTheme="majorHAnsi" w:cstheme="majorHAnsi"/>
          <w:sz w:val="22"/>
          <w:szCs w:val="22"/>
        </w:rPr>
        <w:t xml:space="preserve">the </w:t>
      </w:r>
      <w:r w:rsidR="00BF52BF" w:rsidRPr="00706918">
        <w:rPr>
          <w:rFonts w:asciiTheme="majorHAnsi" w:hAnsiTheme="majorHAnsi" w:cstheme="majorHAnsi"/>
          <w:sz w:val="22"/>
          <w:szCs w:val="22"/>
        </w:rPr>
        <w:t>existing literature</w:t>
      </w:r>
      <w:r w:rsidR="005E4866" w:rsidRPr="00706918">
        <w:rPr>
          <w:rFonts w:asciiTheme="majorHAnsi" w:hAnsiTheme="majorHAnsi" w:cstheme="majorHAnsi"/>
          <w:sz w:val="22"/>
          <w:szCs w:val="22"/>
        </w:rPr>
        <w:t>,</w:t>
      </w:r>
      <w:r w:rsidR="00BF52BF" w:rsidRPr="00706918">
        <w:rPr>
          <w:rFonts w:asciiTheme="majorHAnsi" w:hAnsiTheme="majorHAnsi" w:cstheme="majorHAnsi"/>
          <w:sz w:val="22"/>
          <w:szCs w:val="22"/>
        </w:rPr>
        <w:t xml:space="preserve"> </w:t>
      </w:r>
      <w:r w:rsidR="005E4866" w:rsidRPr="00706918">
        <w:rPr>
          <w:rFonts w:asciiTheme="majorHAnsi" w:hAnsiTheme="majorHAnsi" w:cstheme="majorHAnsi"/>
          <w:sz w:val="22"/>
          <w:szCs w:val="22"/>
        </w:rPr>
        <w:t>as well as</w:t>
      </w:r>
      <w:r w:rsidR="00BF52BF" w:rsidRPr="00706918">
        <w:rPr>
          <w:rFonts w:asciiTheme="majorHAnsi" w:hAnsiTheme="majorHAnsi" w:cstheme="majorHAnsi"/>
          <w:sz w:val="22"/>
          <w:szCs w:val="22"/>
        </w:rPr>
        <w:t xml:space="preserve"> progress</w:t>
      </w:r>
      <w:r w:rsidR="005E4866" w:rsidRPr="00706918">
        <w:rPr>
          <w:rFonts w:asciiTheme="majorHAnsi" w:hAnsiTheme="majorHAnsi" w:cstheme="majorHAnsi"/>
          <w:sz w:val="22"/>
          <w:szCs w:val="22"/>
        </w:rPr>
        <w:t xml:space="preserve"> and remaining questions</w:t>
      </w:r>
      <w:r w:rsidR="00BF52BF" w:rsidRPr="00706918">
        <w:rPr>
          <w:rFonts w:asciiTheme="majorHAnsi" w:hAnsiTheme="majorHAnsi" w:cstheme="majorHAnsi"/>
          <w:sz w:val="22"/>
          <w:szCs w:val="22"/>
        </w:rPr>
        <w:t xml:space="preserve"> in the research field</w:t>
      </w:r>
      <w:r w:rsidR="00410B41" w:rsidRPr="00706918">
        <w:rPr>
          <w:rFonts w:asciiTheme="majorHAnsi" w:hAnsiTheme="majorHAnsi" w:cstheme="majorHAnsi"/>
          <w:sz w:val="22"/>
          <w:szCs w:val="22"/>
        </w:rPr>
        <w:t xml:space="preserve">.  In addition, since publications often have multiple authors, the </w:t>
      </w:r>
      <w:r w:rsidR="00410B41" w:rsidRPr="00706918">
        <w:rPr>
          <w:rFonts w:asciiTheme="majorHAnsi" w:hAnsiTheme="majorHAnsi" w:cstheme="majorHAnsi"/>
          <w:sz w:val="22"/>
          <w:szCs w:val="22"/>
          <w:u w:val="single"/>
        </w:rPr>
        <w:t xml:space="preserve">first page of each such </w:t>
      </w:r>
      <w:r w:rsidR="00570F7B" w:rsidRPr="00706918">
        <w:rPr>
          <w:rFonts w:asciiTheme="majorHAnsi" w:hAnsiTheme="majorHAnsi" w:cstheme="majorHAnsi"/>
          <w:sz w:val="22"/>
          <w:szCs w:val="22"/>
          <w:u w:val="single"/>
        </w:rPr>
        <w:t>R</w:t>
      </w:r>
      <w:r w:rsidR="00410B41" w:rsidRPr="00706918">
        <w:rPr>
          <w:rFonts w:asciiTheme="majorHAnsi" w:hAnsiTheme="majorHAnsi" w:cstheme="majorHAnsi"/>
          <w:sz w:val="22"/>
          <w:szCs w:val="22"/>
          <w:u w:val="single"/>
        </w:rPr>
        <w:t>esults chapter</w:t>
      </w:r>
      <w:r w:rsidR="00410B41" w:rsidRPr="00706918">
        <w:rPr>
          <w:rFonts w:asciiTheme="majorHAnsi" w:hAnsiTheme="majorHAnsi" w:cstheme="majorHAnsi"/>
          <w:sz w:val="22"/>
          <w:szCs w:val="22"/>
        </w:rPr>
        <w:t xml:space="preserve"> must include a proper citation (authors in their published order, journal, volume, page numbers and year</w:t>
      </w:r>
      <w:r w:rsidR="005E4866" w:rsidRPr="00706918">
        <w:rPr>
          <w:rFonts w:asciiTheme="majorHAnsi" w:hAnsiTheme="majorHAnsi" w:cstheme="majorHAnsi"/>
          <w:sz w:val="22"/>
          <w:szCs w:val="22"/>
        </w:rPr>
        <w:t>, or "under review"</w:t>
      </w:r>
      <w:r w:rsidR="00410B41" w:rsidRPr="00706918">
        <w:rPr>
          <w:rFonts w:asciiTheme="majorHAnsi" w:hAnsiTheme="majorHAnsi" w:cstheme="majorHAnsi"/>
          <w:sz w:val="22"/>
          <w:szCs w:val="22"/>
        </w:rPr>
        <w:t xml:space="preserve">), as well as an explicit statement saying </w:t>
      </w:r>
      <w:r w:rsidR="00436F23" w:rsidRPr="00706918">
        <w:rPr>
          <w:rFonts w:asciiTheme="majorHAnsi" w:hAnsiTheme="majorHAnsi" w:cstheme="majorHAnsi"/>
          <w:sz w:val="22"/>
          <w:szCs w:val="22"/>
        </w:rPr>
        <w:t xml:space="preserve">which </w:t>
      </w:r>
      <w:r w:rsidR="00410B41" w:rsidRPr="00706918">
        <w:rPr>
          <w:rFonts w:asciiTheme="majorHAnsi" w:hAnsiTheme="majorHAnsi" w:cstheme="majorHAnsi"/>
          <w:sz w:val="22"/>
          <w:szCs w:val="22"/>
        </w:rPr>
        <w:t xml:space="preserve">parts of the paper were provided by the student, and </w:t>
      </w:r>
      <w:r w:rsidR="00436F23" w:rsidRPr="00706918">
        <w:rPr>
          <w:rFonts w:asciiTheme="majorHAnsi" w:hAnsiTheme="majorHAnsi" w:cstheme="majorHAnsi"/>
          <w:sz w:val="22"/>
          <w:szCs w:val="22"/>
        </w:rPr>
        <w:t xml:space="preserve">which </w:t>
      </w:r>
      <w:r w:rsidR="00410B41" w:rsidRPr="00706918">
        <w:rPr>
          <w:rFonts w:asciiTheme="majorHAnsi" w:hAnsiTheme="majorHAnsi" w:cstheme="majorHAnsi"/>
          <w:sz w:val="22"/>
          <w:szCs w:val="22"/>
        </w:rPr>
        <w:t>part</w:t>
      </w:r>
      <w:r w:rsidR="00436F23" w:rsidRPr="00706918">
        <w:rPr>
          <w:rFonts w:asciiTheme="majorHAnsi" w:hAnsiTheme="majorHAnsi" w:cstheme="majorHAnsi"/>
          <w:sz w:val="22"/>
          <w:szCs w:val="22"/>
        </w:rPr>
        <w:t>s</w:t>
      </w:r>
      <w:r w:rsidR="00410B41" w:rsidRPr="00706918">
        <w:rPr>
          <w:rFonts w:asciiTheme="majorHAnsi" w:hAnsiTheme="majorHAnsi" w:cstheme="majorHAnsi"/>
          <w:sz w:val="22"/>
          <w:szCs w:val="22"/>
        </w:rPr>
        <w:t xml:space="preserve"> by each other author.</w:t>
      </w:r>
      <w:r w:rsidR="009B64C3" w:rsidRPr="00706918">
        <w:rPr>
          <w:rFonts w:asciiTheme="majorHAnsi" w:hAnsiTheme="majorHAnsi" w:cstheme="majorHAnsi"/>
          <w:sz w:val="22"/>
          <w:szCs w:val="22"/>
        </w:rPr>
        <w:t xml:space="preserve">  </w:t>
      </w:r>
      <w:r w:rsidR="008453CC" w:rsidRPr="00706918">
        <w:rPr>
          <w:rFonts w:asciiTheme="majorHAnsi" w:hAnsiTheme="majorHAnsi" w:cstheme="majorHAnsi"/>
          <w:b/>
          <w:i/>
          <w:color w:val="000000"/>
          <w:sz w:val="22"/>
          <w:szCs w:val="22"/>
          <w:u w:val="single"/>
        </w:rPr>
        <w:t xml:space="preserve">Detailed instructions on preparation and format of the </w:t>
      </w:r>
      <w:r w:rsidR="00FD7A5A" w:rsidRPr="00706918">
        <w:rPr>
          <w:rFonts w:asciiTheme="majorHAnsi" w:hAnsiTheme="majorHAnsi" w:cstheme="majorHAnsi"/>
          <w:b/>
          <w:i/>
          <w:color w:val="000000"/>
          <w:sz w:val="22"/>
          <w:szCs w:val="22"/>
          <w:u w:val="single"/>
        </w:rPr>
        <w:t>PhD</w:t>
      </w:r>
      <w:r w:rsidR="008453CC" w:rsidRPr="00706918">
        <w:rPr>
          <w:rFonts w:asciiTheme="majorHAnsi" w:hAnsiTheme="majorHAnsi" w:cstheme="majorHAnsi"/>
          <w:b/>
          <w:i/>
          <w:color w:val="000000"/>
          <w:sz w:val="22"/>
          <w:szCs w:val="22"/>
          <w:u w:val="single"/>
        </w:rPr>
        <w:t xml:space="preserve"> dissertation should be obtained from the Graduate School</w:t>
      </w:r>
      <w:r w:rsidR="008453CC" w:rsidRPr="00706918">
        <w:rPr>
          <w:rFonts w:asciiTheme="majorHAnsi" w:hAnsiTheme="majorHAnsi" w:cstheme="majorHAnsi"/>
          <w:b/>
          <w:i/>
          <w:color w:val="000000"/>
          <w:sz w:val="22"/>
          <w:szCs w:val="22"/>
        </w:rPr>
        <w:t>.</w:t>
      </w:r>
      <w:r w:rsidR="00B96215" w:rsidRPr="00706918">
        <w:rPr>
          <w:rFonts w:asciiTheme="majorHAnsi" w:hAnsiTheme="majorHAnsi" w:cstheme="majorHAnsi"/>
          <w:b/>
          <w:i/>
          <w:sz w:val="22"/>
          <w:szCs w:val="22"/>
        </w:rPr>
        <w:t xml:space="preserve"> </w:t>
      </w:r>
      <w:r w:rsidR="00FA57D7" w:rsidRPr="00706918">
        <w:rPr>
          <w:rFonts w:asciiTheme="majorHAnsi" w:hAnsiTheme="majorHAnsi" w:cstheme="majorHAnsi"/>
          <w:b/>
          <w:i/>
          <w:sz w:val="22"/>
          <w:szCs w:val="22"/>
        </w:rPr>
        <w:t xml:space="preserve"> </w:t>
      </w:r>
      <w:r w:rsidR="008F624C" w:rsidRPr="00706918">
        <w:rPr>
          <w:rFonts w:asciiTheme="majorHAnsi" w:hAnsiTheme="majorHAnsi" w:cstheme="majorHAnsi"/>
          <w:b/>
          <w:i/>
          <w:sz w:val="22"/>
          <w:szCs w:val="22"/>
        </w:rPr>
        <w:t xml:space="preserve">Here is a </w:t>
      </w:r>
      <w:r w:rsidR="00FA57D7" w:rsidRPr="00706918">
        <w:rPr>
          <w:rFonts w:asciiTheme="majorHAnsi" w:hAnsiTheme="majorHAnsi" w:cstheme="majorHAnsi"/>
          <w:b/>
          <w:i/>
          <w:sz w:val="22"/>
          <w:szCs w:val="22"/>
        </w:rPr>
        <w:t xml:space="preserve">useful link </w:t>
      </w:r>
      <w:r w:rsidR="008F624C" w:rsidRPr="00706918">
        <w:rPr>
          <w:rFonts w:asciiTheme="majorHAnsi" w:hAnsiTheme="majorHAnsi" w:cstheme="majorHAnsi"/>
          <w:b/>
          <w:i/>
          <w:sz w:val="22"/>
          <w:szCs w:val="22"/>
        </w:rPr>
        <w:t xml:space="preserve">that </w:t>
      </w:r>
      <w:r w:rsidR="008F624C" w:rsidRPr="00706918">
        <w:rPr>
          <w:rFonts w:asciiTheme="majorHAnsi" w:hAnsiTheme="majorHAnsi" w:cstheme="majorHAnsi"/>
          <w:b/>
          <w:i/>
          <w:color w:val="2F2A20"/>
          <w:sz w:val="22"/>
          <w:szCs w:val="22"/>
          <w:shd w:val="clear" w:color="auto" w:fill="FFFFFF"/>
        </w:rPr>
        <w:t xml:space="preserve">supplies most information about completion of the </w:t>
      </w:r>
      <w:r w:rsidR="00FD7A5A" w:rsidRPr="00706918">
        <w:rPr>
          <w:rFonts w:asciiTheme="majorHAnsi" w:hAnsiTheme="majorHAnsi" w:cstheme="majorHAnsi"/>
          <w:b/>
          <w:i/>
          <w:color w:val="2F2A20"/>
          <w:sz w:val="22"/>
          <w:szCs w:val="22"/>
          <w:shd w:val="clear" w:color="auto" w:fill="FFFFFF"/>
        </w:rPr>
        <w:t>PhD</w:t>
      </w:r>
      <w:r w:rsidR="008F624C" w:rsidRPr="00706918">
        <w:rPr>
          <w:rFonts w:asciiTheme="majorHAnsi" w:hAnsiTheme="majorHAnsi" w:cstheme="majorHAnsi"/>
          <w:b/>
          <w:i/>
          <w:color w:val="2F2A20"/>
          <w:sz w:val="22"/>
          <w:szCs w:val="22"/>
          <w:shd w:val="clear" w:color="auto" w:fill="FFFFFF"/>
        </w:rPr>
        <w:t>, from publishing the dissertation to various surveys and questionnaires, as well as actions needed to make sure the student doesn't owe any money to Brown:</w:t>
      </w:r>
    </w:p>
    <w:p w14:paraId="5BF51C48" w14:textId="77777777" w:rsidR="009843CA" w:rsidRPr="00706918" w:rsidRDefault="009843CA" w:rsidP="00B5560C">
      <w:pPr>
        <w:jc w:val="both"/>
        <w:rPr>
          <w:rFonts w:asciiTheme="majorHAnsi" w:hAnsiTheme="majorHAnsi" w:cstheme="majorHAnsi"/>
          <w:sz w:val="22"/>
          <w:szCs w:val="22"/>
        </w:rPr>
      </w:pPr>
    </w:p>
    <w:p w14:paraId="28EEFAD6" w14:textId="5E8D3DCC" w:rsidR="00FA57D7" w:rsidRPr="00706918" w:rsidRDefault="001F153D" w:rsidP="00FA57D7">
      <w:pPr>
        <w:rPr>
          <w:rFonts w:asciiTheme="majorHAnsi" w:hAnsiTheme="majorHAnsi" w:cstheme="majorHAnsi"/>
          <w:sz w:val="22"/>
          <w:szCs w:val="22"/>
        </w:rPr>
      </w:pPr>
      <w:hyperlink r:id="rId30" w:anchor="completion" w:tgtFrame="_blank" w:history="1">
        <w:r w:rsidR="00FA57D7" w:rsidRPr="00706918">
          <w:rPr>
            <w:rFonts w:asciiTheme="majorHAnsi" w:hAnsiTheme="majorHAnsi" w:cstheme="majorHAnsi"/>
            <w:b/>
            <w:bCs/>
            <w:color w:val="1155CC"/>
            <w:sz w:val="22"/>
            <w:szCs w:val="22"/>
            <w:u w:val="single"/>
            <w:shd w:val="clear" w:color="auto" w:fill="FFFFFF"/>
          </w:rPr>
          <w:t>http://www.brown.edu/academics/gradschool/academics/rules-regulations/dissertation-guidelines#completion</w:t>
        </w:r>
      </w:hyperlink>
    </w:p>
    <w:p w14:paraId="1C2FA1E9" w14:textId="0D2CE8A6" w:rsidR="00FA57D7" w:rsidRPr="00706918" w:rsidRDefault="00FA57D7" w:rsidP="00353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i/>
          <w:sz w:val="22"/>
          <w:szCs w:val="22"/>
        </w:rPr>
      </w:pPr>
    </w:p>
    <w:p w14:paraId="22E58C4C" w14:textId="7DB392CD" w:rsidR="00B96215" w:rsidRPr="00706918" w:rsidRDefault="00FA57D7" w:rsidP="00353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Cs/>
          <w:iCs/>
          <w:sz w:val="22"/>
          <w:szCs w:val="22"/>
        </w:rPr>
      </w:pPr>
      <w:r w:rsidRPr="00706918">
        <w:rPr>
          <w:rFonts w:asciiTheme="majorHAnsi" w:hAnsiTheme="majorHAnsi" w:cstheme="majorHAnsi"/>
          <w:b/>
          <w:i/>
          <w:sz w:val="22"/>
          <w:szCs w:val="22"/>
        </w:rPr>
        <w:t>Students</w:t>
      </w:r>
      <w:r w:rsidR="00B96215" w:rsidRPr="00706918">
        <w:rPr>
          <w:rFonts w:asciiTheme="majorHAnsi" w:hAnsiTheme="majorHAnsi" w:cstheme="majorHAnsi"/>
          <w:b/>
          <w:i/>
          <w:sz w:val="22"/>
          <w:szCs w:val="22"/>
        </w:rPr>
        <w:t xml:space="preserve"> should communicate early and frequently with the </w:t>
      </w:r>
      <w:r w:rsidR="00B96215" w:rsidRPr="00706918">
        <w:rPr>
          <w:rFonts w:asciiTheme="majorHAnsi" w:hAnsiTheme="majorHAnsi" w:cstheme="majorHAnsi"/>
          <w:b/>
          <w:i/>
          <w:sz w:val="22"/>
          <w:szCs w:val="22"/>
          <w:u w:val="single"/>
        </w:rPr>
        <w:t>Graduate Program Coordinator</w:t>
      </w:r>
      <w:r w:rsidR="00B96215" w:rsidRPr="00706918">
        <w:rPr>
          <w:rFonts w:asciiTheme="majorHAnsi" w:hAnsiTheme="majorHAnsi" w:cstheme="majorHAnsi"/>
          <w:b/>
          <w:i/>
          <w:sz w:val="22"/>
          <w:szCs w:val="22"/>
        </w:rPr>
        <w:t xml:space="preserve"> as they make their plans for a Defense</w:t>
      </w:r>
      <w:r w:rsidR="00DD2245" w:rsidRPr="00706918">
        <w:rPr>
          <w:rFonts w:asciiTheme="majorHAnsi" w:hAnsiTheme="majorHAnsi" w:cstheme="majorHAnsi"/>
          <w:b/>
          <w:i/>
          <w:sz w:val="22"/>
          <w:szCs w:val="22"/>
        </w:rPr>
        <w:t>, especially since rooms for the Defense must be scheduled far in advance</w:t>
      </w:r>
      <w:r w:rsidR="00B96215" w:rsidRPr="00706918">
        <w:rPr>
          <w:rFonts w:asciiTheme="majorHAnsi" w:hAnsiTheme="majorHAnsi" w:cstheme="majorHAnsi"/>
          <w:b/>
          <w:i/>
          <w:sz w:val="22"/>
          <w:szCs w:val="22"/>
        </w:rPr>
        <w:t>.</w:t>
      </w:r>
      <w:r w:rsidR="00287588" w:rsidRPr="00706918">
        <w:rPr>
          <w:rFonts w:asciiTheme="majorHAnsi" w:hAnsiTheme="majorHAnsi" w:cstheme="majorHAnsi"/>
          <w:b/>
          <w:i/>
          <w:sz w:val="22"/>
          <w:szCs w:val="22"/>
        </w:rPr>
        <w:t xml:space="preserve">  </w:t>
      </w:r>
      <w:r w:rsidR="00287588" w:rsidRPr="00706918">
        <w:rPr>
          <w:rFonts w:asciiTheme="majorHAnsi" w:hAnsiTheme="majorHAnsi" w:cstheme="majorHAnsi"/>
          <w:bCs/>
          <w:iCs/>
          <w:sz w:val="22"/>
          <w:szCs w:val="22"/>
        </w:rPr>
        <w:t xml:space="preserve">Examples of successful theses </w:t>
      </w:r>
      <w:r w:rsidR="005E4866" w:rsidRPr="00706918">
        <w:rPr>
          <w:rFonts w:asciiTheme="majorHAnsi" w:hAnsiTheme="majorHAnsi" w:cstheme="majorHAnsi"/>
          <w:bCs/>
          <w:iCs/>
          <w:sz w:val="22"/>
          <w:szCs w:val="22"/>
        </w:rPr>
        <w:t>by</w:t>
      </w:r>
      <w:r w:rsidR="00287588" w:rsidRPr="00706918">
        <w:rPr>
          <w:rFonts w:asciiTheme="majorHAnsi" w:hAnsiTheme="majorHAnsi" w:cstheme="majorHAnsi"/>
          <w:bCs/>
          <w:iCs/>
          <w:sz w:val="22"/>
          <w:szCs w:val="22"/>
        </w:rPr>
        <w:t xml:space="preserve"> graduates </w:t>
      </w:r>
      <w:r w:rsidR="005E4866" w:rsidRPr="00706918">
        <w:rPr>
          <w:rFonts w:asciiTheme="majorHAnsi" w:hAnsiTheme="majorHAnsi" w:cstheme="majorHAnsi"/>
          <w:bCs/>
          <w:iCs/>
          <w:sz w:val="22"/>
          <w:szCs w:val="22"/>
        </w:rPr>
        <w:t xml:space="preserve">from our parent program, MPP, </w:t>
      </w:r>
      <w:r w:rsidR="00287588" w:rsidRPr="00706918">
        <w:rPr>
          <w:rFonts w:asciiTheme="majorHAnsi" w:hAnsiTheme="majorHAnsi" w:cstheme="majorHAnsi"/>
          <w:bCs/>
          <w:iCs/>
          <w:sz w:val="22"/>
          <w:szCs w:val="22"/>
        </w:rPr>
        <w:t xml:space="preserve">are available </w:t>
      </w:r>
      <w:r w:rsidR="005E4866" w:rsidRPr="00706918">
        <w:rPr>
          <w:rFonts w:asciiTheme="majorHAnsi" w:hAnsiTheme="majorHAnsi" w:cstheme="majorHAnsi"/>
          <w:bCs/>
          <w:iCs/>
          <w:sz w:val="22"/>
          <w:szCs w:val="22"/>
        </w:rPr>
        <w:t>from</w:t>
      </w:r>
      <w:r w:rsidR="00287588" w:rsidRPr="00706918">
        <w:rPr>
          <w:rFonts w:asciiTheme="majorHAnsi" w:hAnsiTheme="majorHAnsi" w:cstheme="majorHAnsi"/>
          <w:bCs/>
          <w:iCs/>
          <w:sz w:val="22"/>
          <w:szCs w:val="22"/>
        </w:rPr>
        <w:t xml:space="preserve"> the Graduate Program Coordinator, as well as through the Brown University Library.</w:t>
      </w:r>
    </w:p>
    <w:p w14:paraId="603DEE7F" w14:textId="77777777" w:rsidR="001475BD" w:rsidRPr="00706918" w:rsidRDefault="001475BD" w:rsidP="001475BD">
      <w:pPr>
        <w:jc w:val="both"/>
        <w:rPr>
          <w:rFonts w:asciiTheme="majorHAnsi" w:hAnsiTheme="majorHAnsi" w:cstheme="majorHAnsi"/>
          <w:sz w:val="22"/>
          <w:szCs w:val="22"/>
        </w:rPr>
      </w:pPr>
    </w:p>
    <w:p w14:paraId="1E5E8EC9" w14:textId="2B7D8710" w:rsidR="007365B0" w:rsidRPr="00706918" w:rsidRDefault="005E4866" w:rsidP="001475BD">
      <w:pPr>
        <w:jc w:val="both"/>
        <w:rPr>
          <w:rFonts w:asciiTheme="majorHAnsi" w:hAnsiTheme="majorHAnsi" w:cstheme="majorHAnsi"/>
          <w:sz w:val="22"/>
          <w:szCs w:val="22"/>
        </w:rPr>
      </w:pPr>
      <w:r w:rsidRPr="00706918">
        <w:rPr>
          <w:rFonts w:asciiTheme="majorHAnsi" w:hAnsiTheme="majorHAnsi" w:cstheme="majorHAnsi"/>
          <w:color w:val="000000"/>
          <w:sz w:val="22"/>
          <w:szCs w:val="22"/>
        </w:rPr>
        <w:t>As mentioned above, i</w:t>
      </w:r>
      <w:r w:rsidR="007365B0" w:rsidRPr="00706918">
        <w:rPr>
          <w:rFonts w:asciiTheme="majorHAnsi" w:hAnsiTheme="majorHAnsi" w:cstheme="majorHAnsi"/>
          <w:color w:val="000000"/>
          <w:sz w:val="22"/>
          <w:szCs w:val="22"/>
        </w:rPr>
        <w:t>n addition to the Thesis,</w:t>
      </w:r>
      <w:r w:rsidR="007365B0" w:rsidRPr="00706918">
        <w:rPr>
          <w:rFonts w:asciiTheme="majorHAnsi" w:hAnsiTheme="majorHAnsi" w:cstheme="majorHAnsi"/>
          <w:b/>
          <w:i/>
          <w:color w:val="000000"/>
          <w:sz w:val="22"/>
          <w:szCs w:val="22"/>
        </w:rPr>
        <w:t xml:space="preserve"> </w:t>
      </w:r>
      <w:r w:rsidR="007365B0" w:rsidRPr="00706918">
        <w:rPr>
          <w:rFonts w:asciiTheme="majorHAnsi" w:hAnsiTheme="majorHAnsi" w:cstheme="majorHAnsi"/>
          <w:b/>
          <w:i/>
          <w:color w:val="000000"/>
          <w:sz w:val="22"/>
          <w:szCs w:val="22"/>
          <w:u w:val="single"/>
        </w:rPr>
        <w:t xml:space="preserve">one or more </w:t>
      </w:r>
      <w:r w:rsidR="0001634D" w:rsidRPr="00706918">
        <w:rPr>
          <w:rFonts w:asciiTheme="majorHAnsi" w:hAnsiTheme="majorHAnsi" w:cstheme="majorHAnsi"/>
          <w:b/>
          <w:i/>
          <w:color w:val="000000"/>
          <w:sz w:val="22"/>
          <w:szCs w:val="22"/>
          <w:u w:val="single"/>
        </w:rPr>
        <w:t xml:space="preserve">first-authored </w:t>
      </w:r>
      <w:r w:rsidR="007365B0" w:rsidRPr="00706918">
        <w:rPr>
          <w:rFonts w:asciiTheme="majorHAnsi" w:hAnsiTheme="majorHAnsi" w:cstheme="majorHAnsi"/>
          <w:b/>
          <w:i/>
          <w:color w:val="000000"/>
          <w:sz w:val="22"/>
          <w:szCs w:val="22"/>
          <w:u w:val="single"/>
        </w:rPr>
        <w:t xml:space="preserve">publications in peer-reviewed journals are </w:t>
      </w:r>
      <w:r w:rsidRPr="00706918">
        <w:rPr>
          <w:rFonts w:asciiTheme="majorHAnsi" w:hAnsiTheme="majorHAnsi" w:cstheme="majorHAnsi"/>
          <w:b/>
          <w:i/>
          <w:color w:val="000000"/>
          <w:sz w:val="22"/>
          <w:szCs w:val="22"/>
          <w:u w:val="single"/>
        </w:rPr>
        <w:t>required</w:t>
      </w:r>
      <w:r w:rsidR="003D0C99" w:rsidRPr="00706918">
        <w:rPr>
          <w:rFonts w:asciiTheme="majorHAnsi" w:hAnsiTheme="majorHAnsi" w:cstheme="majorHAnsi"/>
          <w:b/>
          <w:i/>
          <w:color w:val="000000"/>
          <w:sz w:val="22"/>
          <w:szCs w:val="22"/>
          <w:u w:val="single"/>
        </w:rPr>
        <w:t xml:space="preserve"> before graduation</w:t>
      </w:r>
      <w:r w:rsidR="007365B0" w:rsidRPr="00706918">
        <w:rPr>
          <w:rFonts w:asciiTheme="majorHAnsi" w:hAnsiTheme="majorHAnsi" w:cstheme="majorHAnsi"/>
          <w:b/>
          <w:i/>
          <w:color w:val="000000"/>
          <w:sz w:val="22"/>
          <w:szCs w:val="22"/>
        </w:rPr>
        <w:t>.</w:t>
      </w:r>
      <w:r w:rsidR="007365B0" w:rsidRPr="00706918">
        <w:rPr>
          <w:rFonts w:asciiTheme="majorHAnsi" w:hAnsiTheme="majorHAnsi" w:cstheme="majorHAnsi"/>
          <w:color w:val="000000"/>
          <w:sz w:val="22"/>
          <w:szCs w:val="22"/>
        </w:rPr>
        <w:t xml:space="preserve">  </w:t>
      </w:r>
      <w:r w:rsidRPr="00706918">
        <w:rPr>
          <w:rFonts w:asciiTheme="majorHAnsi" w:hAnsiTheme="majorHAnsi" w:cstheme="majorHAnsi"/>
          <w:color w:val="000000"/>
          <w:sz w:val="22"/>
          <w:szCs w:val="22"/>
        </w:rPr>
        <w:t>Publications, especially first-authored ones, are</w:t>
      </w:r>
      <w:r w:rsidR="00D2351F" w:rsidRPr="00706918">
        <w:rPr>
          <w:rFonts w:asciiTheme="majorHAnsi" w:hAnsiTheme="majorHAnsi" w:cstheme="majorHAnsi"/>
          <w:color w:val="000000"/>
          <w:sz w:val="22"/>
          <w:szCs w:val="22"/>
        </w:rPr>
        <w:t xml:space="preserve"> critically important </w:t>
      </w:r>
      <w:r w:rsidR="00896520" w:rsidRPr="00706918">
        <w:rPr>
          <w:rFonts w:asciiTheme="majorHAnsi" w:hAnsiTheme="majorHAnsi" w:cstheme="majorHAnsi"/>
          <w:color w:val="000000"/>
          <w:sz w:val="22"/>
          <w:szCs w:val="22"/>
        </w:rPr>
        <w:t xml:space="preserve">for </w:t>
      </w:r>
      <w:r w:rsidR="00D2351F" w:rsidRPr="00706918">
        <w:rPr>
          <w:rFonts w:asciiTheme="majorHAnsi" w:hAnsiTheme="majorHAnsi" w:cstheme="majorHAnsi"/>
          <w:color w:val="000000"/>
          <w:sz w:val="22"/>
          <w:szCs w:val="22"/>
        </w:rPr>
        <w:t>a student's future success.</w:t>
      </w:r>
    </w:p>
    <w:p w14:paraId="2C9886B1" w14:textId="77777777" w:rsidR="007365B0" w:rsidRPr="0003067F" w:rsidRDefault="007365B0" w:rsidP="001475BD">
      <w:pPr>
        <w:jc w:val="both"/>
        <w:rPr>
          <w:rFonts w:asciiTheme="majorHAnsi" w:hAnsiTheme="majorHAnsi" w:cstheme="majorHAnsi"/>
          <w:sz w:val="22"/>
          <w:szCs w:val="22"/>
        </w:rPr>
      </w:pPr>
    </w:p>
    <w:p w14:paraId="6AB4A24E" w14:textId="77777777" w:rsidR="00C72A7B" w:rsidRPr="0003067F" w:rsidRDefault="00C72A7B" w:rsidP="001475BD">
      <w:pPr>
        <w:jc w:val="both"/>
        <w:rPr>
          <w:rFonts w:asciiTheme="majorHAnsi" w:hAnsiTheme="majorHAnsi" w:cstheme="majorHAnsi"/>
          <w:sz w:val="22"/>
          <w:szCs w:val="22"/>
        </w:rPr>
      </w:pPr>
    </w:p>
    <w:p w14:paraId="42F35C06" w14:textId="03B9E18A" w:rsidR="001475BD" w:rsidRPr="0003067F" w:rsidRDefault="008F435A" w:rsidP="001475BD">
      <w:pPr>
        <w:jc w:val="both"/>
        <w:rPr>
          <w:rFonts w:asciiTheme="majorHAnsi" w:hAnsiTheme="majorHAnsi" w:cstheme="majorHAnsi"/>
          <w:sz w:val="22"/>
          <w:szCs w:val="22"/>
        </w:rPr>
      </w:pPr>
      <w:r w:rsidRPr="0003067F">
        <w:rPr>
          <w:rFonts w:asciiTheme="majorHAnsi" w:hAnsiTheme="majorHAnsi" w:cstheme="majorHAnsi"/>
          <w:b/>
          <w:sz w:val="22"/>
          <w:szCs w:val="22"/>
        </w:rPr>
        <w:t xml:space="preserve">VI.  </w:t>
      </w:r>
      <w:r w:rsidR="001475BD" w:rsidRPr="0003067F">
        <w:rPr>
          <w:rFonts w:asciiTheme="majorHAnsi" w:hAnsiTheme="majorHAnsi" w:cstheme="majorHAnsi"/>
          <w:b/>
          <w:sz w:val="22"/>
          <w:szCs w:val="22"/>
        </w:rPr>
        <w:t xml:space="preserve">Additional </w:t>
      </w:r>
      <w:r w:rsidR="00D269EC" w:rsidRPr="0003067F">
        <w:rPr>
          <w:rFonts w:asciiTheme="majorHAnsi" w:hAnsiTheme="majorHAnsi" w:cstheme="majorHAnsi"/>
          <w:b/>
          <w:sz w:val="22"/>
          <w:szCs w:val="22"/>
        </w:rPr>
        <w:t xml:space="preserve">Training Activities </w:t>
      </w:r>
      <w:r w:rsidR="001475BD" w:rsidRPr="0003067F">
        <w:rPr>
          <w:rFonts w:asciiTheme="majorHAnsi" w:hAnsiTheme="majorHAnsi" w:cstheme="majorHAnsi"/>
          <w:b/>
          <w:sz w:val="22"/>
          <w:szCs w:val="22"/>
        </w:rPr>
        <w:t xml:space="preserve">and </w:t>
      </w:r>
      <w:r w:rsidR="00D269EC" w:rsidRPr="0003067F">
        <w:rPr>
          <w:rFonts w:asciiTheme="majorHAnsi" w:hAnsiTheme="majorHAnsi" w:cstheme="majorHAnsi"/>
          <w:b/>
          <w:sz w:val="22"/>
          <w:szCs w:val="22"/>
        </w:rPr>
        <w:t>Scientific Interactions</w:t>
      </w:r>
      <w:r w:rsidR="001475BD" w:rsidRPr="0003067F">
        <w:rPr>
          <w:rFonts w:asciiTheme="majorHAnsi" w:hAnsiTheme="majorHAnsi" w:cstheme="majorHAnsi"/>
          <w:b/>
          <w:sz w:val="22"/>
          <w:szCs w:val="22"/>
        </w:rPr>
        <w:t xml:space="preserve">.  </w:t>
      </w:r>
      <w:r w:rsidR="000349EB" w:rsidRPr="0003067F">
        <w:rPr>
          <w:rFonts w:asciiTheme="majorHAnsi" w:hAnsiTheme="majorHAnsi" w:cstheme="majorHAnsi"/>
          <w:b/>
          <w:i/>
          <w:iCs/>
          <w:sz w:val="22"/>
          <w:szCs w:val="22"/>
        </w:rPr>
        <w:t xml:space="preserve">NOTE that </w:t>
      </w:r>
      <w:r w:rsidR="009C1E21" w:rsidRPr="0003067F">
        <w:rPr>
          <w:rFonts w:asciiTheme="majorHAnsi" w:hAnsiTheme="majorHAnsi" w:cstheme="majorHAnsi"/>
          <w:b/>
          <w:i/>
          <w:iCs/>
          <w:sz w:val="22"/>
          <w:szCs w:val="22"/>
        </w:rPr>
        <w:t>since the beginning of t</w:t>
      </w:r>
      <w:r w:rsidR="000349EB" w:rsidRPr="0003067F">
        <w:rPr>
          <w:rFonts w:asciiTheme="majorHAnsi" w:hAnsiTheme="majorHAnsi" w:cstheme="majorHAnsi"/>
          <w:b/>
          <w:bCs/>
          <w:i/>
          <w:iCs/>
          <w:color w:val="000000"/>
          <w:sz w:val="22"/>
          <w:szCs w:val="22"/>
        </w:rPr>
        <w:t xml:space="preserve">he Covid-19 pandemic, </w:t>
      </w:r>
      <w:r w:rsidR="009C1E21" w:rsidRPr="0003067F">
        <w:rPr>
          <w:rFonts w:asciiTheme="majorHAnsi" w:hAnsiTheme="majorHAnsi" w:cstheme="majorHAnsi"/>
          <w:b/>
          <w:bCs/>
          <w:i/>
          <w:iCs/>
          <w:color w:val="000000"/>
          <w:sz w:val="22"/>
          <w:szCs w:val="22"/>
        </w:rPr>
        <w:t xml:space="preserve">some of </w:t>
      </w:r>
      <w:r w:rsidR="000349EB" w:rsidRPr="0003067F">
        <w:rPr>
          <w:rFonts w:asciiTheme="majorHAnsi" w:hAnsiTheme="majorHAnsi" w:cstheme="majorHAnsi"/>
          <w:b/>
          <w:bCs/>
          <w:i/>
          <w:iCs/>
          <w:color w:val="000000"/>
          <w:sz w:val="22"/>
          <w:szCs w:val="22"/>
        </w:rPr>
        <w:t xml:space="preserve">these activities </w:t>
      </w:r>
      <w:r w:rsidR="009C1E21" w:rsidRPr="0003067F">
        <w:rPr>
          <w:rFonts w:asciiTheme="majorHAnsi" w:hAnsiTheme="majorHAnsi" w:cstheme="majorHAnsi"/>
          <w:b/>
          <w:bCs/>
          <w:i/>
          <w:iCs/>
          <w:color w:val="000000"/>
          <w:sz w:val="22"/>
          <w:szCs w:val="22"/>
        </w:rPr>
        <w:t>have become</w:t>
      </w:r>
      <w:r w:rsidR="000349EB" w:rsidRPr="0003067F">
        <w:rPr>
          <w:rFonts w:asciiTheme="majorHAnsi" w:hAnsiTheme="majorHAnsi" w:cstheme="majorHAnsi"/>
          <w:b/>
          <w:bCs/>
          <w:i/>
          <w:iCs/>
          <w:color w:val="000000"/>
          <w:sz w:val="22"/>
          <w:szCs w:val="22"/>
        </w:rPr>
        <w:t xml:space="preserve"> virtual, generally through Zoom meetings.</w:t>
      </w:r>
    </w:p>
    <w:p w14:paraId="2ED02E6F" w14:textId="77777777" w:rsidR="001475BD" w:rsidRPr="0003067F" w:rsidRDefault="001475BD" w:rsidP="001475BD">
      <w:pPr>
        <w:jc w:val="both"/>
        <w:rPr>
          <w:rFonts w:asciiTheme="majorHAnsi" w:hAnsiTheme="majorHAnsi" w:cstheme="majorHAnsi"/>
          <w:sz w:val="22"/>
          <w:szCs w:val="22"/>
        </w:rPr>
      </w:pPr>
    </w:p>
    <w:p w14:paraId="12939C8D" w14:textId="702F7B40" w:rsidR="0076196F" w:rsidRPr="0003067F" w:rsidRDefault="0076196F" w:rsidP="001475BD">
      <w:pPr>
        <w:jc w:val="both"/>
        <w:rPr>
          <w:rFonts w:asciiTheme="majorHAnsi" w:hAnsiTheme="majorHAnsi" w:cstheme="majorHAnsi"/>
          <w:sz w:val="22"/>
          <w:szCs w:val="22"/>
        </w:rPr>
      </w:pPr>
      <w:r w:rsidRPr="0003067F">
        <w:rPr>
          <w:rFonts w:asciiTheme="majorHAnsi" w:hAnsiTheme="majorHAnsi" w:cstheme="majorHAnsi"/>
          <w:b/>
          <w:i/>
          <w:sz w:val="22"/>
          <w:szCs w:val="22"/>
          <w:u w:val="single"/>
        </w:rPr>
        <w:t>The Fall Welcome Dinner</w:t>
      </w:r>
      <w:r w:rsidRPr="0003067F">
        <w:rPr>
          <w:rFonts w:asciiTheme="majorHAnsi" w:hAnsiTheme="majorHAnsi" w:cstheme="majorHAnsi"/>
          <w:sz w:val="22"/>
          <w:szCs w:val="22"/>
        </w:rPr>
        <w:t xml:space="preserve"> at the beginning of each </w:t>
      </w:r>
      <w:r w:rsidR="0098585A" w:rsidRPr="0003067F">
        <w:rPr>
          <w:rFonts w:asciiTheme="majorHAnsi" w:hAnsiTheme="majorHAnsi" w:cstheme="majorHAnsi"/>
          <w:sz w:val="22"/>
          <w:szCs w:val="22"/>
        </w:rPr>
        <w:t>academic year</w:t>
      </w:r>
      <w:r w:rsidRPr="0003067F">
        <w:rPr>
          <w:rFonts w:asciiTheme="majorHAnsi" w:hAnsiTheme="majorHAnsi" w:cstheme="majorHAnsi"/>
          <w:sz w:val="22"/>
          <w:szCs w:val="22"/>
        </w:rPr>
        <w:t xml:space="preserve"> introduce</w:t>
      </w:r>
      <w:r w:rsidR="00476981" w:rsidRPr="0003067F">
        <w:rPr>
          <w:rFonts w:asciiTheme="majorHAnsi" w:hAnsiTheme="majorHAnsi" w:cstheme="majorHAnsi"/>
          <w:sz w:val="22"/>
          <w:szCs w:val="22"/>
        </w:rPr>
        <w:t>s</w:t>
      </w:r>
      <w:r w:rsidRPr="0003067F">
        <w:rPr>
          <w:rFonts w:asciiTheme="majorHAnsi" w:hAnsiTheme="majorHAnsi" w:cstheme="majorHAnsi"/>
          <w:sz w:val="22"/>
          <w:szCs w:val="22"/>
        </w:rPr>
        <w:t xml:space="preserve"> students in the entering class to </w:t>
      </w:r>
      <w:r w:rsidR="00934A82" w:rsidRPr="0003067F">
        <w:rPr>
          <w:rFonts w:asciiTheme="majorHAnsi" w:hAnsiTheme="majorHAnsi" w:cstheme="majorHAnsi"/>
          <w:sz w:val="22"/>
          <w:szCs w:val="22"/>
        </w:rPr>
        <w:t xml:space="preserve">the other </w:t>
      </w:r>
      <w:r w:rsidRPr="0003067F">
        <w:rPr>
          <w:rFonts w:asciiTheme="majorHAnsi" w:hAnsiTheme="majorHAnsi" w:cstheme="majorHAnsi"/>
          <w:sz w:val="22"/>
          <w:szCs w:val="22"/>
        </w:rPr>
        <w:t>current students</w:t>
      </w:r>
      <w:r w:rsidR="0067227F" w:rsidRPr="0003067F">
        <w:rPr>
          <w:rFonts w:asciiTheme="majorHAnsi" w:hAnsiTheme="majorHAnsi" w:cstheme="majorHAnsi"/>
          <w:sz w:val="22"/>
          <w:szCs w:val="22"/>
        </w:rPr>
        <w:t xml:space="preserve">, most of whom they met </w:t>
      </w:r>
      <w:r w:rsidR="00303C78" w:rsidRPr="0003067F">
        <w:rPr>
          <w:rFonts w:asciiTheme="majorHAnsi" w:hAnsiTheme="majorHAnsi" w:cstheme="majorHAnsi"/>
          <w:sz w:val="22"/>
          <w:szCs w:val="22"/>
        </w:rPr>
        <w:t xml:space="preserve">at least </w:t>
      </w:r>
      <w:r w:rsidR="0067227F" w:rsidRPr="0003067F">
        <w:rPr>
          <w:rFonts w:asciiTheme="majorHAnsi" w:hAnsiTheme="majorHAnsi" w:cstheme="majorHAnsi"/>
          <w:sz w:val="22"/>
          <w:szCs w:val="22"/>
        </w:rPr>
        <w:t>briefly during the recruitment events</w:t>
      </w:r>
      <w:r w:rsidRPr="0003067F">
        <w:rPr>
          <w:rFonts w:asciiTheme="majorHAnsi" w:hAnsiTheme="majorHAnsi" w:cstheme="majorHAnsi"/>
          <w:sz w:val="22"/>
          <w:szCs w:val="22"/>
        </w:rPr>
        <w:t xml:space="preserve">. </w:t>
      </w:r>
      <w:r w:rsidR="00FD260A" w:rsidRPr="0003067F">
        <w:rPr>
          <w:rFonts w:asciiTheme="majorHAnsi" w:hAnsiTheme="majorHAnsi" w:cstheme="majorHAnsi"/>
          <w:sz w:val="22"/>
          <w:szCs w:val="22"/>
        </w:rPr>
        <w:t xml:space="preserve"> </w:t>
      </w:r>
      <w:r w:rsidR="0098585A" w:rsidRPr="0003067F">
        <w:rPr>
          <w:rFonts w:asciiTheme="majorHAnsi" w:hAnsiTheme="majorHAnsi" w:cstheme="majorHAnsi"/>
          <w:sz w:val="22"/>
          <w:szCs w:val="22"/>
        </w:rPr>
        <w:t xml:space="preserve">This meeting will also include a TSGP-specific </w:t>
      </w:r>
      <w:r w:rsidR="0067227F" w:rsidRPr="0003067F">
        <w:rPr>
          <w:rFonts w:asciiTheme="majorHAnsi" w:hAnsiTheme="majorHAnsi" w:cstheme="majorHAnsi"/>
          <w:sz w:val="22"/>
          <w:szCs w:val="22"/>
        </w:rPr>
        <w:t>orientation,</w:t>
      </w:r>
      <w:r w:rsidRPr="0003067F">
        <w:rPr>
          <w:rFonts w:asciiTheme="majorHAnsi" w:hAnsiTheme="majorHAnsi" w:cstheme="majorHAnsi"/>
          <w:sz w:val="22"/>
          <w:szCs w:val="22"/>
        </w:rPr>
        <w:t xml:space="preserve"> </w:t>
      </w:r>
      <w:r w:rsidR="0098585A" w:rsidRPr="0003067F">
        <w:rPr>
          <w:rFonts w:asciiTheme="majorHAnsi" w:hAnsiTheme="majorHAnsi" w:cstheme="majorHAnsi"/>
          <w:sz w:val="22"/>
          <w:szCs w:val="22"/>
        </w:rPr>
        <w:t>discussing</w:t>
      </w:r>
      <w:r w:rsidR="00476981" w:rsidRPr="0003067F">
        <w:rPr>
          <w:rFonts w:asciiTheme="majorHAnsi" w:hAnsiTheme="majorHAnsi" w:cstheme="majorHAnsi"/>
          <w:sz w:val="22"/>
          <w:szCs w:val="22"/>
        </w:rPr>
        <w:t xml:space="preserve"> </w:t>
      </w:r>
      <w:r w:rsidRPr="0003067F">
        <w:rPr>
          <w:rFonts w:asciiTheme="majorHAnsi" w:hAnsiTheme="majorHAnsi" w:cstheme="majorHAnsi"/>
          <w:sz w:val="22"/>
          <w:szCs w:val="22"/>
        </w:rPr>
        <w:t xml:space="preserve">key features like coursework, lab rotations, etc.  </w:t>
      </w:r>
      <w:r w:rsidR="00476981" w:rsidRPr="0003067F">
        <w:rPr>
          <w:rFonts w:asciiTheme="majorHAnsi" w:hAnsiTheme="majorHAnsi" w:cstheme="majorHAnsi"/>
          <w:sz w:val="22"/>
          <w:szCs w:val="22"/>
        </w:rPr>
        <w:t>The discussion will also include</w:t>
      </w:r>
      <w:r w:rsidRPr="0003067F">
        <w:rPr>
          <w:rFonts w:asciiTheme="majorHAnsi" w:hAnsiTheme="majorHAnsi" w:cstheme="majorHAnsi"/>
          <w:sz w:val="22"/>
          <w:szCs w:val="22"/>
        </w:rPr>
        <w:t xml:space="preserve"> what is expected of doctoral students in general (in contrast with what was expected of them in college). </w:t>
      </w:r>
      <w:r w:rsidR="005A70D4" w:rsidRPr="0003067F">
        <w:rPr>
          <w:rFonts w:asciiTheme="majorHAnsi" w:hAnsiTheme="majorHAnsi" w:cstheme="majorHAnsi"/>
          <w:sz w:val="22"/>
          <w:szCs w:val="22"/>
        </w:rPr>
        <w:t xml:space="preserve"> F</w:t>
      </w:r>
      <w:r w:rsidRPr="0003067F">
        <w:rPr>
          <w:rFonts w:asciiTheme="majorHAnsi" w:hAnsiTheme="majorHAnsi" w:cstheme="majorHAnsi"/>
          <w:sz w:val="22"/>
          <w:szCs w:val="22"/>
        </w:rPr>
        <w:t xml:space="preserve">aculty trainers will </w:t>
      </w:r>
      <w:r w:rsidRPr="0003067F">
        <w:rPr>
          <w:rFonts w:asciiTheme="majorHAnsi" w:hAnsiTheme="majorHAnsi" w:cstheme="majorHAnsi"/>
          <w:i/>
          <w:sz w:val="22"/>
          <w:szCs w:val="22"/>
        </w:rPr>
        <w:t>not</w:t>
      </w:r>
      <w:r w:rsidRPr="0003067F">
        <w:rPr>
          <w:rFonts w:asciiTheme="majorHAnsi" w:hAnsiTheme="majorHAnsi" w:cstheme="majorHAnsi"/>
          <w:sz w:val="22"/>
          <w:szCs w:val="22"/>
        </w:rPr>
        <w:t xml:space="preserve"> attend this meeting, but instead will be involved in individual breakfast </w:t>
      </w:r>
      <w:r w:rsidR="0098585A" w:rsidRPr="0003067F">
        <w:rPr>
          <w:rFonts w:asciiTheme="majorHAnsi" w:hAnsiTheme="majorHAnsi" w:cstheme="majorHAnsi"/>
          <w:sz w:val="22"/>
          <w:szCs w:val="22"/>
        </w:rPr>
        <w:t xml:space="preserve">and lunch </w:t>
      </w:r>
      <w:r w:rsidRPr="0003067F">
        <w:rPr>
          <w:rFonts w:asciiTheme="majorHAnsi" w:hAnsiTheme="majorHAnsi" w:cstheme="majorHAnsi"/>
          <w:sz w:val="22"/>
          <w:szCs w:val="22"/>
        </w:rPr>
        <w:t xml:space="preserve">meetings (see below), as well as </w:t>
      </w:r>
      <w:r w:rsidR="00EA526E" w:rsidRPr="0003067F">
        <w:rPr>
          <w:rFonts w:asciiTheme="majorHAnsi" w:hAnsiTheme="majorHAnsi" w:cstheme="majorHAnsi"/>
          <w:sz w:val="22"/>
          <w:szCs w:val="22"/>
        </w:rPr>
        <w:t xml:space="preserve">in </w:t>
      </w:r>
      <w:r w:rsidRPr="0003067F">
        <w:rPr>
          <w:rFonts w:asciiTheme="majorHAnsi" w:hAnsiTheme="majorHAnsi" w:cstheme="majorHAnsi"/>
          <w:sz w:val="22"/>
          <w:szCs w:val="22"/>
        </w:rPr>
        <w:t xml:space="preserve">the </w:t>
      </w:r>
      <w:r w:rsidR="00FD260A" w:rsidRPr="0003067F">
        <w:rPr>
          <w:rFonts w:asciiTheme="majorHAnsi" w:hAnsiTheme="majorHAnsi" w:cstheme="majorHAnsi"/>
          <w:sz w:val="22"/>
          <w:szCs w:val="22"/>
        </w:rPr>
        <w:t xml:space="preserve">annual spring </w:t>
      </w:r>
      <w:r w:rsidR="0098585A" w:rsidRPr="0003067F">
        <w:rPr>
          <w:rFonts w:asciiTheme="majorHAnsi" w:hAnsiTheme="majorHAnsi" w:cstheme="majorHAnsi"/>
          <w:sz w:val="22"/>
          <w:szCs w:val="22"/>
        </w:rPr>
        <w:t>TSGP</w:t>
      </w:r>
      <w:r w:rsidR="00FD260A" w:rsidRPr="0003067F">
        <w:rPr>
          <w:rFonts w:asciiTheme="majorHAnsi" w:hAnsiTheme="majorHAnsi" w:cstheme="majorHAnsi"/>
          <w:sz w:val="22"/>
          <w:szCs w:val="22"/>
        </w:rPr>
        <w:t xml:space="preserve"> </w:t>
      </w:r>
      <w:r w:rsidRPr="0003067F">
        <w:rPr>
          <w:rFonts w:asciiTheme="majorHAnsi" w:hAnsiTheme="majorHAnsi" w:cstheme="majorHAnsi"/>
          <w:sz w:val="22"/>
          <w:szCs w:val="22"/>
        </w:rPr>
        <w:t>retreat.</w:t>
      </w:r>
      <w:r w:rsidR="00FD260A" w:rsidRPr="0003067F">
        <w:rPr>
          <w:rFonts w:asciiTheme="majorHAnsi" w:hAnsiTheme="majorHAnsi" w:cstheme="majorHAnsi"/>
          <w:sz w:val="22"/>
          <w:szCs w:val="22"/>
        </w:rPr>
        <w:t xml:space="preserve">  </w:t>
      </w:r>
      <w:r w:rsidR="0039643C" w:rsidRPr="0003067F">
        <w:rPr>
          <w:rFonts w:asciiTheme="majorHAnsi" w:hAnsiTheme="majorHAnsi" w:cstheme="majorHAnsi"/>
          <w:sz w:val="22"/>
          <w:szCs w:val="22"/>
        </w:rPr>
        <w:t xml:space="preserve">The exception </w:t>
      </w:r>
      <w:r w:rsidR="00FD260A" w:rsidRPr="0003067F">
        <w:rPr>
          <w:rFonts w:asciiTheme="majorHAnsi" w:hAnsiTheme="majorHAnsi" w:cstheme="majorHAnsi"/>
          <w:sz w:val="22"/>
          <w:szCs w:val="22"/>
        </w:rPr>
        <w:t xml:space="preserve">to this </w:t>
      </w:r>
      <w:r w:rsidR="0039643C" w:rsidRPr="0003067F">
        <w:rPr>
          <w:rFonts w:asciiTheme="majorHAnsi" w:hAnsiTheme="majorHAnsi" w:cstheme="majorHAnsi"/>
          <w:sz w:val="22"/>
          <w:szCs w:val="22"/>
        </w:rPr>
        <w:t xml:space="preserve">is </w:t>
      </w:r>
      <w:r w:rsidR="00FD260A" w:rsidRPr="0003067F">
        <w:rPr>
          <w:rFonts w:asciiTheme="majorHAnsi" w:hAnsiTheme="majorHAnsi" w:cstheme="majorHAnsi"/>
          <w:sz w:val="22"/>
          <w:szCs w:val="22"/>
        </w:rPr>
        <w:t>the attendance at the Welcome Dinner by the Graduate Program Committee</w:t>
      </w:r>
      <w:r w:rsidR="0098585A" w:rsidRPr="0003067F">
        <w:rPr>
          <w:rFonts w:asciiTheme="majorHAnsi" w:hAnsiTheme="majorHAnsi" w:cstheme="majorHAnsi"/>
          <w:sz w:val="22"/>
          <w:szCs w:val="22"/>
        </w:rPr>
        <w:t>, which includes some faculty trainers as well as the Principal Investigators of the NIH NIGMS T32 training grant</w:t>
      </w:r>
      <w:r w:rsidR="00EA526E" w:rsidRPr="0003067F">
        <w:rPr>
          <w:rFonts w:asciiTheme="majorHAnsi" w:hAnsiTheme="majorHAnsi" w:cstheme="majorHAnsi"/>
          <w:sz w:val="22"/>
          <w:szCs w:val="22"/>
        </w:rPr>
        <w:t>.</w:t>
      </w:r>
    </w:p>
    <w:p w14:paraId="7C366806" w14:textId="77777777" w:rsidR="005A70D4" w:rsidRPr="0003067F" w:rsidRDefault="005A70D4" w:rsidP="001475BD">
      <w:pPr>
        <w:jc w:val="both"/>
        <w:rPr>
          <w:rFonts w:asciiTheme="majorHAnsi" w:hAnsiTheme="majorHAnsi" w:cstheme="majorHAnsi"/>
          <w:sz w:val="22"/>
          <w:szCs w:val="22"/>
        </w:rPr>
      </w:pPr>
    </w:p>
    <w:p w14:paraId="43E990BC" w14:textId="638D3F7D" w:rsidR="0076196F" w:rsidRPr="0003067F" w:rsidRDefault="0076196F" w:rsidP="001475BD">
      <w:pPr>
        <w:jc w:val="both"/>
        <w:rPr>
          <w:rFonts w:asciiTheme="majorHAnsi" w:hAnsiTheme="majorHAnsi" w:cstheme="majorHAnsi"/>
          <w:sz w:val="22"/>
          <w:szCs w:val="22"/>
        </w:rPr>
      </w:pPr>
      <w:r w:rsidRPr="0003067F">
        <w:rPr>
          <w:rFonts w:asciiTheme="majorHAnsi" w:hAnsiTheme="majorHAnsi" w:cstheme="majorHAnsi"/>
          <w:b/>
          <w:i/>
          <w:sz w:val="22"/>
          <w:szCs w:val="22"/>
          <w:u w:val="single"/>
        </w:rPr>
        <w:t>Faculty-student breakfasts</w:t>
      </w:r>
      <w:r w:rsidRPr="0003067F">
        <w:rPr>
          <w:rFonts w:asciiTheme="majorHAnsi" w:hAnsiTheme="majorHAnsi" w:cstheme="majorHAnsi"/>
          <w:sz w:val="22"/>
          <w:szCs w:val="22"/>
        </w:rPr>
        <w:t xml:space="preserve"> for first-y</w:t>
      </w:r>
      <w:r w:rsidR="00284DEE" w:rsidRPr="0003067F">
        <w:rPr>
          <w:rFonts w:asciiTheme="majorHAnsi" w:hAnsiTheme="majorHAnsi" w:cstheme="majorHAnsi"/>
          <w:sz w:val="22"/>
          <w:szCs w:val="22"/>
        </w:rPr>
        <w:t xml:space="preserve">ear </w:t>
      </w:r>
      <w:r w:rsidR="00645D62" w:rsidRPr="0003067F">
        <w:rPr>
          <w:rFonts w:asciiTheme="majorHAnsi" w:hAnsiTheme="majorHAnsi" w:cstheme="majorHAnsi"/>
          <w:sz w:val="22"/>
          <w:szCs w:val="22"/>
        </w:rPr>
        <w:t>TSGP</w:t>
      </w:r>
      <w:r w:rsidR="00284DEE" w:rsidRPr="0003067F">
        <w:rPr>
          <w:rFonts w:asciiTheme="majorHAnsi" w:hAnsiTheme="majorHAnsi" w:cstheme="majorHAnsi"/>
          <w:sz w:val="22"/>
          <w:szCs w:val="22"/>
        </w:rPr>
        <w:t xml:space="preserve"> students </w:t>
      </w:r>
      <w:r w:rsidRPr="0003067F">
        <w:rPr>
          <w:rFonts w:asciiTheme="majorHAnsi" w:hAnsiTheme="majorHAnsi" w:cstheme="majorHAnsi"/>
          <w:sz w:val="22"/>
          <w:szCs w:val="22"/>
        </w:rPr>
        <w:t>to learn about each faculty trainer's research and to assist in selecting appropriate research rotations</w:t>
      </w:r>
      <w:r w:rsidR="000328A1" w:rsidRPr="0003067F">
        <w:rPr>
          <w:rFonts w:asciiTheme="majorHAnsi" w:hAnsiTheme="majorHAnsi" w:cstheme="majorHAnsi"/>
          <w:sz w:val="22"/>
          <w:szCs w:val="22"/>
        </w:rPr>
        <w:t xml:space="preserve"> for the spring</w:t>
      </w:r>
      <w:r w:rsidRPr="0003067F">
        <w:rPr>
          <w:rFonts w:asciiTheme="majorHAnsi" w:hAnsiTheme="majorHAnsi" w:cstheme="majorHAnsi"/>
          <w:sz w:val="22"/>
          <w:szCs w:val="22"/>
        </w:rPr>
        <w:t xml:space="preserve">.  These are one-hour sessions that occur about 3 to 5 per week </w:t>
      </w:r>
      <w:r w:rsidR="00284DEE" w:rsidRPr="0003067F">
        <w:rPr>
          <w:rFonts w:asciiTheme="majorHAnsi" w:hAnsiTheme="majorHAnsi" w:cstheme="majorHAnsi"/>
          <w:sz w:val="22"/>
          <w:szCs w:val="22"/>
        </w:rPr>
        <w:t>at the beginning of</w:t>
      </w:r>
      <w:r w:rsidRPr="0003067F">
        <w:rPr>
          <w:rFonts w:asciiTheme="majorHAnsi" w:hAnsiTheme="majorHAnsi" w:cstheme="majorHAnsi"/>
          <w:sz w:val="22"/>
          <w:szCs w:val="22"/>
        </w:rPr>
        <w:t xml:space="preserve"> the fall semester, with one trainer and all beginning students at each </w:t>
      </w:r>
      <w:r w:rsidR="00284DEE" w:rsidRPr="0003067F">
        <w:rPr>
          <w:rFonts w:asciiTheme="majorHAnsi" w:hAnsiTheme="majorHAnsi" w:cstheme="majorHAnsi"/>
          <w:sz w:val="22"/>
          <w:szCs w:val="22"/>
        </w:rPr>
        <w:t>breakfast session</w:t>
      </w:r>
      <w:r w:rsidRPr="0003067F">
        <w:rPr>
          <w:rFonts w:asciiTheme="majorHAnsi" w:hAnsiTheme="majorHAnsi" w:cstheme="majorHAnsi"/>
          <w:sz w:val="22"/>
          <w:szCs w:val="22"/>
        </w:rPr>
        <w:t xml:space="preserve">. </w:t>
      </w:r>
      <w:r w:rsidR="00805F2D" w:rsidRPr="0003067F">
        <w:rPr>
          <w:rFonts w:asciiTheme="majorHAnsi" w:hAnsiTheme="majorHAnsi" w:cstheme="majorHAnsi"/>
          <w:sz w:val="22"/>
          <w:szCs w:val="22"/>
        </w:rPr>
        <w:t xml:space="preserve"> Each faculty trainer discusses </w:t>
      </w:r>
      <w:r w:rsidR="00645D62" w:rsidRPr="0003067F">
        <w:rPr>
          <w:rFonts w:asciiTheme="majorHAnsi" w:hAnsiTheme="majorHAnsi" w:cstheme="majorHAnsi"/>
          <w:sz w:val="22"/>
          <w:szCs w:val="22"/>
        </w:rPr>
        <w:t>their</w:t>
      </w:r>
      <w:r w:rsidR="00805F2D" w:rsidRPr="0003067F">
        <w:rPr>
          <w:rFonts w:asciiTheme="majorHAnsi" w:hAnsiTheme="majorHAnsi" w:cstheme="majorHAnsi"/>
          <w:sz w:val="22"/>
          <w:szCs w:val="22"/>
        </w:rPr>
        <w:t xml:space="preserve"> research (with or without </w:t>
      </w:r>
      <w:proofErr w:type="spellStart"/>
      <w:r w:rsidR="00805F2D" w:rsidRPr="0003067F">
        <w:rPr>
          <w:rFonts w:asciiTheme="majorHAnsi" w:hAnsiTheme="majorHAnsi" w:cstheme="majorHAnsi"/>
          <w:sz w:val="22"/>
          <w:szCs w:val="22"/>
        </w:rPr>
        <w:t>powerpoint</w:t>
      </w:r>
      <w:proofErr w:type="spellEnd"/>
      <w:r w:rsidR="00805F2D" w:rsidRPr="0003067F">
        <w:rPr>
          <w:rFonts w:asciiTheme="majorHAnsi" w:hAnsiTheme="majorHAnsi" w:cstheme="majorHAnsi"/>
          <w:sz w:val="22"/>
          <w:szCs w:val="22"/>
        </w:rPr>
        <w:t xml:space="preserve"> slides), and the trainer and students use this opportunity to get to know each other</w:t>
      </w:r>
      <w:r w:rsidR="000328A1" w:rsidRPr="0003067F">
        <w:rPr>
          <w:rFonts w:asciiTheme="majorHAnsi" w:hAnsiTheme="majorHAnsi" w:cstheme="majorHAnsi"/>
          <w:sz w:val="22"/>
          <w:szCs w:val="22"/>
        </w:rPr>
        <w:t xml:space="preserve"> and to discuss various possible rotation projects</w:t>
      </w:r>
      <w:r w:rsidR="00645D62" w:rsidRPr="0003067F">
        <w:rPr>
          <w:rFonts w:asciiTheme="majorHAnsi" w:hAnsiTheme="majorHAnsi" w:cstheme="majorHAnsi"/>
          <w:sz w:val="22"/>
          <w:szCs w:val="22"/>
        </w:rPr>
        <w:t xml:space="preserve"> as well as general lab environment and mentoring style</w:t>
      </w:r>
      <w:r w:rsidR="00805F2D" w:rsidRPr="0003067F">
        <w:rPr>
          <w:rFonts w:asciiTheme="majorHAnsi" w:hAnsiTheme="majorHAnsi" w:cstheme="majorHAnsi"/>
          <w:sz w:val="22"/>
          <w:szCs w:val="22"/>
        </w:rPr>
        <w:t>.</w:t>
      </w:r>
      <w:r w:rsidR="000328A1" w:rsidRPr="0003067F">
        <w:rPr>
          <w:rFonts w:asciiTheme="majorHAnsi" w:hAnsiTheme="majorHAnsi" w:cstheme="majorHAnsi"/>
          <w:sz w:val="22"/>
          <w:szCs w:val="22"/>
        </w:rPr>
        <w:t xml:space="preserve">  </w:t>
      </w:r>
    </w:p>
    <w:p w14:paraId="595201D7" w14:textId="77777777" w:rsidR="0076196F" w:rsidRPr="0003067F" w:rsidRDefault="0076196F" w:rsidP="001475BD">
      <w:pPr>
        <w:jc w:val="both"/>
        <w:rPr>
          <w:rFonts w:asciiTheme="majorHAnsi" w:hAnsiTheme="majorHAnsi" w:cstheme="majorHAnsi"/>
          <w:sz w:val="22"/>
          <w:szCs w:val="22"/>
        </w:rPr>
      </w:pPr>
    </w:p>
    <w:p w14:paraId="719871C9" w14:textId="6A3117BC" w:rsidR="009E2550" w:rsidRPr="0003067F" w:rsidRDefault="001475BD" w:rsidP="001475BD">
      <w:pPr>
        <w:jc w:val="both"/>
        <w:rPr>
          <w:rFonts w:asciiTheme="majorHAnsi" w:hAnsiTheme="majorHAnsi" w:cstheme="majorHAnsi"/>
          <w:sz w:val="22"/>
          <w:szCs w:val="22"/>
        </w:rPr>
      </w:pPr>
      <w:r w:rsidRPr="0003067F">
        <w:rPr>
          <w:rFonts w:asciiTheme="majorHAnsi" w:hAnsiTheme="majorHAnsi" w:cstheme="majorHAnsi"/>
          <w:b/>
          <w:i/>
          <w:sz w:val="22"/>
          <w:szCs w:val="22"/>
          <w:u w:val="single"/>
        </w:rPr>
        <w:t xml:space="preserve">The Annual </w:t>
      </w:r>
      <w:r w:rsidR="00F967EB" w:rsidRPr="0003067F">
        <w:rPr>
          <w:rFonts w:asciiTheme="majorHAnsi" w:hAnsiTheme="majorHAnsi" w:cstheme="majorHAnsi"/>
          <w:b/>
          <w:i/>
          <w:sz w:val="22"/>
          <w:szCs w:val="22"/>
          <w:u w:val="single"/>
        </w:rPr>
        <w:t>TSGP</w:t>
      </w:r>
      <w:r w:rsidRPr="0003067F">
        <w:rPr>
          <w:rFonts w:asciiTheme="majorHAnsi" w:hAnsiTheme="majorHAnsi" w:cstheme="majorHAnsi"/>
          <w:b/>
          <w:i/>
          <w:sz w:val="22"/>
          <w:szCs w:val="22"/>
          <w:u w:val="single"/>
        </w:rPr>
        <w:t xml:space="preserve"> Retreat </w:t>
      </w:r>
      <w:r w:rsidR="00717154" w:rsidRPr="0003067F">
        <w:rPr>
          <w:rFonts w:asciiTheme="majorHAnsi" w:hAnsiTheme="majorHAnsi" w:cstheme="majorHAnsi"/>
          <w:sz w:val="22"/>
          <w:szCs w:val="22"/>
        </w:rPr>
        <w:t xml:space="preserve">is </w:t>
      </w:r>
      <w:r w:rsidRPr="0003067F">
        <w:rPr>
          <w:rFonts w:asciiTheme="majorHAnsi" w:hAnsiTheme="majorHAnsi" w:cstheme="majorHAnsi"/>
          <w:sz w:val="22"/>
          <w:szCs w:val="22"/>
        </w:rPr>
        <w:t>held in mid</w:t>
      </w:r>
      <w:r w:rsidR="00717154" w:rsidRPr="0003067F">
        <w:rPr>
          <w:rFonts w:asciiTheme="majorHAnsi" w:hAnsiTheme="majorHAnsi" w:cstheme="majorHAnsi"/>
          <w:sz w:val="22"/>
          <w:szCs w:val="22"/>
        </w:rPr>
        <w:t>-</w:t>
      </w:r>
      <w:r w:rsidRPr="0003067F">
        <w:rPr>
          <w:rFonts w:asciiTheme="majorHAnsi" w:hAnsiTheme="majorHAnsi" w:cstheme="majorHAnsi"/>
          <w:sz w:val="22"/>
          <w:szCs w:val="22"/>
        </w:rPr>
        <w:t xml:space="preserve"> to late May each year at a site on campus</w:t>
      </w:r>
      <w:r w:rsidR="00C4302D" w:rsidRPr="0003067F">
        <w:rPr>
          <w:rFonts w:asciiTheme="majorHAnsi" w:hAnsiTheme="majorHAnsi" w:cstheme="majorHAnsi"/>
          <w:sz w:val="22"/>
          <w:szCs w:val="22"/>
        </w:rPr>
        <w:t>, partially sponsored by our training grant (</w:t>
      </w:r>
      <w:r w:rsidR="00F967EB" w:rsidRPr="0003067F">
        <w:rPr>
          <w:rFonts w:asciiTheme="majorHAnsi" w:hAnsiTheme="majorHAnsi" w:cstheme="majorHAnsi"/>
          <w:sz w:val="22"/>
          <w:szCs w:val="22"/>
        </w:rPr>
        <w:t>"</w:t>
      </w:r>
      <w:r w:rsidR="00C4302D" w:rsidRPr="0003067F">
        <w:rPr>
          <w:rFonts w:asciiTheme="majorHAnsi" w:hAnsiTheme="majorHAnsi" w:cstheme="majorHAnsi"/>
          <w:sz w:val="22"/>
          <w:szCs w:val="22"/>
        </w:rPr>
        <w:t>T32</w:t>
      </w:r>
      <w:r w:rsidR="00F967EB" w:rsidRPr="0003067F">
        <w:rPr>
          <w:rFonts w:asciiTheme="majorHAnsi" w:hAnsiTheme="majorHAnsi" w:cstheme="majorHAnsi"/>
          <w:sz w:val="22"/>
          <w:szCs w:val="22"/>
        </w:rPr>
        <w:t>"</w:t>
      </w:r>
      <w:r w:rsidR="00C4302D" w:rsidRPr="0003067F">
        <w:rPr>
          <w:rFonts w:asciiTheme="majorHAnsi" w:hAnsiTheme="majorHAnsi" w:cstheme="majorHAnsi"/>
          <w:sz w:val="22"/>
          <w:szCs w:val="22"/>
        </w:rPr>
        <w:t>)</w:t>
      </w:r>
      <w:r w:rsidRPr="0003067F">
        <w:rPr>
          <w:rFonts w:asciiTheme="majorHAnsi" w:hAnsiTheme="majorHAnsi" w:cstheme="majorHAnsi"/>
          <w:sz w:val="22"/>
          <w:szCs w:val="22"/>
        </w:rPr>
        <w:t xml:space="preserve">.  </w:t>
      </w:r>
      <w:r w:rsidR="00C4302D" w:rsidRPr="0003067F">
        <w:rPr>
          <w:rFonts w:asciiTheme="majorHAnsi" w:hAnsiTheme="majorHAnsi" w:cstheme="majorHAnsi"/>
          <w:sz w:val="22"/>
          <w:szCs w:val="22"/>
        </w:rPr>
        <w:t>The retreat</w:t>
      </w:r>
      <w:r w:rsidRPr="0003067F">
        <w:rPr>
          <w:rFonts w:asciiTheme="majorHAnsi" w:hAnsiTheme="majorHAnsi" w:cstheme="majorHAnsi"/>
          <w:sz w:val="22"/>
          <w:szCs w:val="22"/>
        </w:rPr>
        <w:t xml:space="preserve"> </w:t>
      </w:r>
      <w:r w:rsidR="00717154" w:rsidRPr="0003067F">
        <w:rPr>
          <w:rFonts w:asciiTheme="majorHAnsi" w:hAnsiTheme="majorHAnsi" w:cstheme="majorHAnsi"/>
          <w:sz w:val="22"/>
          <w:szCs w:val="22"/>
        </w:rPr>
        <w:t>is</w:t>
      </w:r>
      <w:r w:rsidRPr="0003067F">
        <w:rPr>
          <w:rFonts w:asciiTheme="majorHAnsi" w:hAnsiTheme="majorHAnsi" w:cstheme="majorHAnsi"/>
          <w:sz w:val="22"/>
          <w:szCs w:val="22"/>
        </w:rPr>
        <w:t xml:space="preserve"> centered around </w:t>
      </w:r>
      <w:r w:rsidR="00B701DC" w:rsidRPr="0003067F">
        <w:rPr>
          <w:rFonts w:asciiTheme="majorHAnsi" w:hAnsiTheme="majorHAnsi" w:cstheme="majorHAnsi"/>
          <w:sz w:val="22"/>
          <w:szCs w:val="22"/>
        </w:rPr>
        <w:t xml:space="preserve">student posters and </w:t>
      </w:r>
      <w:r w:rsidRPr="0003067F">
        <w:rPr>
          <w:rFonts w:asciiTheme="majorHAnsi" w:hAnsiTheme="majorHAnsi" w:cstheme="majorHAnsi"/>
          <w:sz w:val="22"/>
          <w:szCs w:val="22"/>
        </w:rPr>
        <w:t xml:space="preserve">scientific talks by </w:t>
      </w:r>
      <w:r w:rsidR="00C4302D" w:rsidRPr="0003067F">
        <w:rPr>
          <w:rFonts w:asciiTheme="majorHAnsi" w:hAnsiTheme="majorHAnsi" w:cstheme="majorHAnsi"/>
          <w:sz w:val="22"/>
          <w:szCs w:val="22"/>
        </w:rPr>
        <w:t>students</w:t>
      </w:r>
      <w:r w:rsidRPr="0003067F">
        <w:rPr>
          <w:rFonts w:asciiTheme="majorHAnsi" w:hAnsiTheme="majorHAnsi" w:cstheme="majorHAnsi"/>
          <w:sz w:val="22"/>
          <w:szCs w:val="22"/>
        </w:rPr>
        <w:t xml:space="preserve"> and faculty trainers</w:t>
      </w:r>
      <w:r w:rsidR="00C4302D" w:rsidRPr="0003067F">
        <w:rPr>
          <w:rFonts w:asciiTheme="majorHAnsi" w:hAnsiTheme="majorHAnsi" w:cstheme="majorHAnsi"/>
          <w:sz w:val="22"/>
          <w:szCs w:val="22"/>
        </w:rPr>
        <w:t xml:space="preserve">.  </w:t>
      </w:r>
      <w:r w:rsidR="0038110F" w:rsidRPr="0003067F">
        <w:rPr>
          <w:rFonts w:asciiTheme="majorHAnsi" w:hAnsiTheme="majorHAnsi" w:cstheme="majorHAnsi"/>
          <w:sz w:val="22"/>
          <w:szCs w:val="22"/>
        </w:rPr>
        <w:t xml:space="preserve">A typical retreat </w:t>
      </w:r>
      <w:r w:rsidRPr="0003067F">
        <w:rPr>
          <w:rFonts w:asciiTheme="majorHAnsi" w:hAnsiTheme="majorHAnsi" w:cstheme="majorHAnsi"/>
          <w:sz w:val="22"/>
          <w:szCs w:val="22"/>
        </w:rPr>
        <w:t>schedule include</w:t>
      </w:r>
      <w:r w:rsidR="00C4302D" w:rsidRPr="0003067F">
        <w:rPr>
          <w:rFonts w:asciiTheme="majorHAnsi" w:hAnsiTheme="majorHAnsi" w:cstheme="majorHAnsi"/>
          <w:sz w:val="22"/>
          <w:szCs w:val="22"/>
        </w:rPr>
        <w:t>s</w:t>
      </w:r>
      <w:r w:rsidRPr="0003067F">
        <w:rPr>
          <w:rFonts w:asciiTheme="majorHAnsi" w:hAnsiTheme="majorHAnsi" w:cstheme="majorHAnsi"/>
          <w:sz w:val="22"/>
          <w:szCs w:val="22"/>
        </w:rPr>
        <w:t>: 1) breakfast</w:t>
      </w:r>
      <w:r w:rsidR="00B701DC" w:rsidRPr="0003067F">
        <w:rPr>
          <w:rFonts w:asciiTheme="majorHAnsi" w:hAnsiTheme="majorHAnsi" w:cstheme="majorHAnsi"/>
          <w:sz w:val="22"/>
          <w:szCs w:val="22"/>
        </w:rPr>
        <w:t xml:space="preserve"> and a </w:t>
      </w:r>
      <w:r w:rsidR="00A774A7" w:rsidRPr="0003067F">
        <w:rPr>
          <w:rFonts w:asciiTheme="majorHAnsi" w:hAnsiTheme="majorHAnsi" w:cstheme="majorHAnsi"/>
          <w:sz w:val="22"/>
          <w:szCs w:val="22"/>
        </w:rPr>
        <w:t xml:space="preserve">student </w:t>
      </w:r>
      <w:r w:rsidR="00B701DC" w:rsidRPr="0003067F">
        <w:rPr>
          <w:rFonts w:asciiTheme="majorHAnsi" w:hAnsiTheme="majorHAnsi" w:cstheme="majorHAnsi"/>
          <w:sz w:val="22"/>
          <w:szCs w:val="22"/>
        </w:rPr>
        <w:t>poster session</w:t>
      </w:r>
      <w:r w:rsidRPr="0003067F">
        <w:rPr>
          <w:rFonts w:asciiTheme="majorHAnsi" w:hAnsiTheme="majorHAnsi" w:cstheme="majorHAnsi"/>
          <w:sz w:val="22"/>
          <w:szCs w:val="22"/>
        </w:rPr>
        <w:t xml:space="preserve">; 2) morning </w:t>
      </w:r>
      <w:r w:rsidR="00D87207" w:rsidRPr="0003067F">
        <w:rPr>
          <w:rFonts w:asciiTheme="majorHAnsi" w:hAnsiTheme="majorHAnsi" w:cstheme="majorHAnsi"/>
          <w:sz w:val="22"/>
          <w:szCs w:val="22"/>
        </w:rPr>
        <w:t xml:space="preserve">research </w:t>
      </w:r>
      <w:r w:rsidRPr="0003067F">
        <w:rPr>
          <w:rFonts w:asciiTheme="majorHAnsi" w:hAnsiTheme="majorHAnsi" w:cstheme="majorHAnsi"/>
          <w:sz w:val="22"/>
          <w:szCs w:val="22"/>
        </w:rPr>
        <w:t xml:space="preserve">talks by </w:t>
      </w:r>
      <w:r w:rsidR="00B701DC" w:rsidRPr="0003067F">
        <w:rPr>
          <w:rFonts w:asciiTheme="majorHAnsi" w:hAnsiTheme="majorHAnsi" w:cstheme="majorHAnsi"/>
          <w:sz w:val="22"/>
          <w:szCs w:val="22"/>
        </w:rPr>
        <w:t>students</w:t>
      </w:r>
      <w:r w:rsidR="00C4302D" w:rsidRPr="0003067F">
        <w:rPr>
          <w:rFonts w:asciiTheme="majorHAnsi" w:hAnsiTheme="majorHAnsi" w:cstheme="majorHAnsi"/>
          <w:sz w:val="22"/>
          <w:szCs w:val="22"/>
        </w:rPr>
        <w:t xml:space="preserve"> (including T32 trainees)</w:t>
      </w:r>
      <w:r w:rsidRPr="0003067F">
        <w:rPr>
          <w:rFonts w:asciiTheme="majorHAnsi" w:hAnsiTheme="majorHAnsi" w:cstheme="majorHAnsi"/>
          <w:sz w:val="22"/>
          <w:szCs w:val="22"/>
        </w:rPr>
        <w:t xml:space="preserve">; 3) lunch; 4) </w:t>
      </w:r>
      <w:r w:rsidR="0038110F" w:rsidRPr="0003067F">
        <w:rPr>
          <w:rFonts w:asciiTheme="majorHAnsi" w:hAnsiTheme="majorHAnsi" w:cstheme="majorHAnsi"/>
          <w:sz w:val="22"/>
          <w:szCs w:val="22"/>
        </w:rPr>
        <w:t xml:space="preserve">a </w:t>
      </w:r>
      <w:r w:rsidR="00D87207" w:rsidRPr="0003067F">
        <w:rPr>
          <w:rFonts w:asciiTheme="majorHAnsi" w:hAnsiTheme="majorHAnsi" w:cstheme="majorHAnsi"/>
          <w:sz w:val="22"/>
          <w:szCs w:val="22"/>
        </w:rPr>
        <w:t xml:space="preserve">breakout </w:t>
      </w:r>
      <w:r w:rsidR="00A774A7" w:rsidRPr="0003067F">
        <w:rPr>
          <w:rFonts w:asciiTheme="majorHAnsi" w:hAnsiTheme="majorHAnsi" w:cstheme="majorHAnsi"/>
          <w:sz w:val="22"/>
          <w:szCs w:val="22"/>
        </w:rPr>
        <w:t>session</w:t>
      </w:r>
      <w:r w:rsidR="0038110F" w:rsidRPr="0003067F">
        <w:rPr>
          <w:rFonts w:asciiTheme="majorHAnsi" w:hAnsiTheme="majorHAnsi" w:cstheme="majorHAnsi"/>
          <w:sz w:val="22"/>
          <w:szCs w:val="22"/>
        </w:rPr>
        <w:t xml:space="preserve"> of the </w:t>
      </w:r>
      <w:r w:rsidR="00D87207" w:rsidRPr="0003067F">
        <w:rPr>
          <w:rFonts w:asciiTheme="majorHAnsi" w:hAnsiTheme="majorHAnsi" w:cstheme="majorHAnsi"/>
          <w:sz w:val="22"/>
          <w:szCs w:val="22"/>
        </w:rPr>
        <w:t>students</w:t>
      </w:r>
      <w:r w:rsidR="0038110F" w:rsidRPr="0003067F">
        <w:rPr>
          <w:rFonts w:asciiTheme="majorHAnsi" w:hAnsiTheme="majorHAnsi" w:cstheme="majorHAnsi"/>
          <w:sz w:val="22"/>
          <w:szCs w:val="22"/>
        </w:rPr>
        <w:t xml:space="preserve"> with the Graduate Program Committee; 5) </w:t>
      </w:r>
      <w:r w:rsidR="00343C4F" w:rsidRPr="0003067F">
        <w:rPr>
          <w:rFonts w:asciiTheme="majorHAnsi" w:hAnsiTheme="majorHAnsi" w:cstheme="majorHAnsi"/>
          <w:sz w:val="22"/>
          <w:szCs w:val="22"/>
        </w:rPr>
        <w:t xml:space="preserve">T32 </w:t>
      </w:r>
      <w:r w:rsidR="0038110F" w:rsidRPr="0003067F">
        <w:rPr>
          <w:rFonts w:asciiTheme="majorHAnsi" w:hAnsiTheme="majorHAnsi" w:cstheme="majorHAnsi"/>
          <w:sz w:val="22"/>
          <w:szCs w:val="22"/>
        </w:rPr>
        <w:t xml:space="preserve">faculty trainer research talks; 6) a coffee break and </w:t>
      </w:r>
      <w:r w:rsidR="00D87207" w:rsidRPr="0003067F">
        <w:rPr>
          <w:rFonts w:asciiTheme="majorHAnsi" w:hAnsiTheme="majorHAnsi" w:cstheme="majorHAnsi"/>
          <w:sz w:val="22"/>
          <w:szCs w:val="22"/>
        </w:rPr>
        <w:t xml:space="preserve">a breakout </w:t>
      </w:r>
      <w:r w:rsidR="00A774A7" w:rsidRPr="0003067F">
        <w:rPr>
          <w:rFonts w:asciiTheme="majorHAnsi" w:hAnsiTheme="majorHAnsi" w:cstheme="majorHAnsi"/>
          <w:sz w:val="22"/>
          <w:szCs w:val="22"/>
        </w:rPr>
        <w:t>session</w:t>
      </w:r>
      <w:r w:rsidR="0038110F" w:rsidRPr="0003067F">
        <w:rPr>
          <w:rFonts w:asciiTheme="majorHAnsi" w:hAnsiTheme="majorHAnsi" w:cstheme="majorHAnsi"/>
          <w:sz w:val="22"/>
          <w:szCs w:val="22"/>
        </w:rPr>
        <w:t xml:space="preserve"> of the faculty trainers with the Graduate Program Committee; 7) </w:t>
      </w:r>
      <w:r w:rsidRPr="0003067F">
        <w:rPr>
          <w:rFonts w:asciiTheme="majorHAnsi" w:hAnsiTheme="majorHAnsi" w:cstheme="majorHAnsi"/>
          <w:sz w:val="22"/>
          <w:szCs w:val="22"/>
        </w:rPr>
        <w:t xml:space="preserve">the keynote lecture by </w:t>
      </w:r>
      <w:r w:rsidR="00C4302D" w:rsidRPr="0003067F">
        <w:rPr>
          <w:rFonts w:asciiTheme="majorHAnsi" w:hAnsiTheme="majorHAnsi" w:cstheme="majorHAnsi"/>
          <w:sz w:val="22"/>
          <w:szCs w:val="22"/>
        </w:rPr>
        <w:t>a</w:t>
      </w:r>
      <w:r w:rsidRPr="0003067F">
        <w:rPr>
          <w:rFonts w:asciiTheme="majorHAnsi" w:hAnsiTheme="majorHAnsi" w:cstheme="majorHAnsi"/>
          <w:sz w:val="22"/>
          <w:szCs w:val="22"/>
        </w:rPr>
        <w:t xml:space="preserve"> T32-sponsored distinguished speaker</w:t>
      </w:r>
      <w:r w:rsidR="00C4302D" w:rsidRPr="0003067F">
        <w:rPr>
          <w:rFonts w:asciiTheme="majorHAnsi" w:hAnsiTheme="majorHAnsi" w:cstheme="majorHAnsi"/>
          <w:sz w:val="22"/>
          <w:szCs w:val="22"/>
        </w:rPr>
        <w:t xml:space="preserve"> from outside Brown</w:t>
      </w:r>
      <w:r w:rsidRPr="0003067F">
        <w:rPr>
          <w:rFonts w:asciiTheme="majorHAnsi" w:hAnsiTheme="majorHAnsi" w:cstheme="majorHAnsi"/>
          <w:sz w:val="22"/>
          <w:szCs w:val="22"/>
        </w:rPr>
        <w:t xml:space="preserve">; and </w:t>
      </w:r>
      <w:r w:rsidR="0038110F" w:rsidRPr="0003067F">
        <w:rPr>
          <w:rFonts w:asciiTheme="majorHAnsi" w:hAnsiTheme="majorHAnsi" w:cstheme="majorHAnsi"/>
          <w:sz w:val="22"/>
          <w:szCs w:val="22"/>
        </w:rPr>
        <w:t>8</w:t>
      </w:r>
      <w:r w:rsidRPr="0003067F">
        <w:rPr>
          <w:rFonts w:asciiTheme="majorHAnsi" w:hAnsiTheme="majorHAnsi" w:cstheme="majorHAnsi"/>
          <w:sz w:val="22"/>
          <w:szCs w:val="22"/>
        </w:rPr>
        <w:t xml:space="preserve">) </w:t>
      </w:r>
      <w:r w:rsidR="0038110F" w:rsidRPr="0003067F">
        <w:rPr>
          <w:rFonts w:asciiTheme="majorHAnsi" w:hAnsiTheme="majorHAnsi" w:cstheme="majorHAnsi"/>
          <w:spacing w:val="-1"/>
          <w:sz w:val="22"/>
          <w:szCs w:val="22"/>
        </w:rPr>
        <w:t>drinks and hors d’oeuvres at a local restaurant.</w:t>
      </w:r>
      <w:r w:rsidR="0038110F" w:rsidRPr="0003067F">
        <w:rPr>
          <w:rFonts w:asciiTheme="majorHAnsi" w:hAnsiTheme="majorHAnsi" w:cstheme="majorHAnsi"/>
          <w:i/>
          <w:spacing w:val="-1"/>
          <w:sz w:val="22"/>
          <w:szCs w:val="22"/>
        </w:rPr>
        <w:t xml:space="preserve"> </w:t>
      </w:r>
      <w:r w:rsidR="00D87207" w:rsidRPr="0003067F">
        <w:rPr>
          <w:rFonts w:asciiTheme="majorHAnsi" w:hAnsiTheme="majorHAnsi" w:cstheme="majorHAnsi"/>
          <w:sz w:val="22"/>
          <w:szCs w:val="22"/>
        </w:rPr>
        <w:t xml:space="preserve"> At the breakout </w:t>
      </w:r>
      <w:r w:rsidR="00A774A7" w:rsidRPr="0003067F">
        <w:rPr>
          <w:rFonts w:asciiTheme="majorHAnsi" w:hAnsiTheme="majorHAnsi" w:cstheme="majorHAnsi"/>
          <w:sz w:val="22"/>
          <w:szCs w:val="22"/>
        </w:rPr>
        <w:t>sessions</w:t>
      </w:r>
      <w:r w:rsidR="00D87207" w:rsidRPr="0003067F">
        <w:rPr>
          <w:rFonts w:asciiTheme="majorHAnsi" w:hAnsiTheme="majorHAnsi" w:cstheme="majorHAnsi"/>
          <w:sz w:val="22"/>
          <w:szCs w:val="22"/>
        </w:rPr>
        <w:t xml:space="preserve"> of students and faculty with the Graduate Program Committee, there are discussions of </w:t>
      </w:r>
      <w:r w:rsidRPr="0003067F">
        <w:rPr>
          <w:rFonts w:asciiTheme="majorHAnsi" w:hAnsiTheme="majorHAnsi" w:cstheme="majorHAnsi"/>
          <w:sz w:val="22"/>
          <w:szCs w:val="22"/>
        </w:rPr>
        <w:t>training grant issues</w:t>
      </w:r>
      <w:r w:rsidR="00F967EB" w:rsidRPr="0003067F">
        <w:rPr>
          <w:rFonts w:asciiTheme="majorHAnsi" w:hAnsiTheme="majorHAnsi" w:cstheme="majorHAnsi"/>
          <w:sz w:val="22"/>
          <w:szCs w:val="22"/>
        </w:rPr>
        <w:t>, new developments</w:t>
      </w:r>
      <w:r w:rsidR="00C4302D" w:rsidRPr="0003067F">
        <w:rPr>
          <w:rFonts w:asciiTheme="majorHAnsi" w:hAnsiTheme="majorHAnsi" w:cstheme="majorHAnsi"/>
          <w:sz w:val="22"/>
          <w:szCs w:val="22"/>
        </w:rPr>
        <w:t xml:space="preserve"> and</w:t>
      </w:r>
      <w:r w:rsidRPr="0003067F">
        <w:rPr>
          <w:rFonts w:asciiTheme="majorHAnsi" w:hAnsiTheme="majorHAnsi" w:cstheme="majorHAnsi"/>
          <w:sz w:val="22"/>
          <w:szCs w:val="22"/>
        </w:rPr>
        <w:t xml:space="preserve"> ideas for improving the program.  </w:t>
      </w:r>
      <w:r w:rsidR="00F967EB" w:rsidRPr="0003067F">
        <w:rPr>
          <w:rFonts w:asciiTheme="majorHAnsi" w:hAnsiTheme="majorHAnsi" w:cstheme="majorHAnsi"/>
          <w:sz w:val="22"/>
          <w:szCs w:val="22"/>
        </w:rPr>
        <w:t>The retreat format was developed by the graduate students.</w:t>
      </w:r>
    </w:p>
    <w:p w14:paraId="58FB3CDE" w14:textId="77777777" w:rsidR="00552336" w:rsidRPr="0003067F" w:rsidRDefault="00552336" w:rsidP="001475BD">
      <w:pPr>
        <w:jc w:val="both"/>
        <w:rPr>
          <w:rFonts w:asciiTheme="majorHAnsi" w:hAnsiTheme="majorHAnsi" w:cstheme="majorHAnsi"/>
          <w:sz w:val="22"/>
          <w:szCs w:val="22"/>
        </w:rPr>
      </w:pPr>
    </w:p>
    <w:p w14:paraId="07C633A2" w14:textId="4BA1D503" w:rsidR="009E2550" w:rsidRPr="0003067F" w:rsidRDefault="009E2550" w:rsidP="009E2550">
      <w:pPr>
        <w:jc w:val="both"/>
        <w:rPr>
          <w:rFonts w:asciiTheme="majorHAnsi" w:hAnsiTheme="majorHAnsi" w:cstheme="majorHAnsi"/>
          <w:sz w:val="22"/>
          <w:szCs w:val="22"/>
        </w:rPr>
      </w:pPr>
      <w:r w:rsidRPr="0003067F">
        <w:rPr>
          <w:rFonts w:asciiTheme="majorHAnsi" w:hAnsiTheme="majorHAnsi" w:cstheme="majorHAnsi"/>
          <w:b/>
          <w:i/>
          <w:sz w:val="22"/>
          <w:szCs w:val="22"/>
          <w:u w:val="single"/>
        </w:rPr>
        <w:t xml:space="preserve">Monthly </w:t>
      </w:r>
      <w:r w:rsidR="00F967EB" w:rsidRPr="0003067F">
        <w:rPr>
          <w:rFonts w:asciiTheme="majorHAnsi" w:hAnsiTheme="majorHAnsi" w:cstheme="majorHAnsi"/>
          <w:b/>
          <w:i/>
          <w:sz w:val="22"/>
          <w:szCs w:val="22"/>
          <w:u w:val="single"/>
        </w:rPr>
        <w:t>TSGP</w:t>
      </w:r>
      <w:r w:rsidRPr="0003067F">
        <w:rPr>
          <w:rFonts w:asciiTheme="majorHAnsi" w:hAnsiTheme="majorHAnsi" w:cstheme="majorHAnsi"/>
          <w:sz w:val="22"/>
          <w:szCs w:val="22"/>
        </w:rPr>
        <w:t xml:space="preserve"> meetings are attended by all </w:t>
      </w:r>
      <w:r w:rsidR="00F967EB" w:rsidRPr="0003067F">
        <w:rPr>
          <w:rFonts w:asciiTheme="majorHAnsi" w:hAnsiTheme="majorHAnsi" w:cstheme="majorHAnsi"/>
          <w:sz w:val="22"/>
          <w:szCs w:val="22"/>
        </w:rPr>
        <w:t>TSGP</w:t>
      </w:r>
      <w:r w:rsidRPr="0003067F">
        <w:rPr>
          <w:rFonts w:asciiTheme="majorHAnsi" w:hAnsiTheme="majorHAnsi" w:cstheme="majorHAnsi"/>
          <w:sz w:val="22"/>
          <w:szCs w:val="22"/>
        </w:rPr>
        <w:t xml:space="preserve"> students</w:t>
      </w:r>
      <w:r w:rsidR="00642D12" w:rsidRPr="0003067F">
        <w:rPr>
          <w:rFonts w:asciiTheme="majorHAnsi" w:hAnsiTheme="majorHAnsi" w:cstheme="majorHAnsi"/>
          <w:sz w:val="22"/>
          <w:szCs w:val="22"/>
        </w:rPr>
        <w:t>, and occasionally</w:t>
      </w:r>
      <w:r w:rsidRPr="0003067F">
        <w:rPr>
          <w:rFonts w:asciiTheme="majorHAnsi" w:hAnsiTheme="majorHAnsi" w:cstheme="majorHAnsi"/>
          <w:sz w:val="22"/>
          <w:szCs w:val="22"/>
        </w:rPr>
        <w:t xml:space="preserve"> </w:t>
      </w:r>
      <w:r w:rsidR="00642D12" w:rsidRPr="0003067F">
        <w:rPr>
          <w:rFonts w:asciiTheme="majorHAnsi" w:hAnsiTheme="majorHAnsi" w:cstheme="majorHAnsi"/>
          <w:sz w:val="22"/>
          <w:szCs w:val="22"/>
        </w:rPr>
        <w:t>by</w:t>
      </w:r>
      <w:r w:rsidRPr="0003067F">
        <w:rPr>
          <w:rFonts w:asciiTheme="majorHAnsi" w:hAnsiTheme="majorHAnsi" w:cstheme="majorHAnsi"/>
          <w:sz w:val="22"/>
          <w:szCs w:val="22"/>
        </w:rPr>
        <w:t xml:space="preserve"> </w:t>
      </w:r>
      <w:r w:rsidR="00FD575C" w:rsidRPr="0003067F">
        <w:rPr>
          <w:rFonts w:asciiTheme="majorHAnsi" w:hAnsiTheme="majorHAnsi" w:cstheme="majorHAnsi"/>
          <w:sz w:val="22"/>
          <w:szCs w:val="22"/>
        </w:rPr>
        <w:t>alumni(ae) or special guest speakers</w:t>
      </w:r>
      <w:r w:rsidRPr="0003067F">
        <w:rPr>
          <w:rFonts w:asciiTheme="majorHAnsi" w:hAnsiTheme="majorHAnsi" w:cstheme="majorHAnsi"/>
          <w:sz w:val="22"/>
          <w:szCs w:val="22"/>
        </w:rPr>
        <w:t xml:space="preserve">.  </w:t>
      </w:r>
      <w:r w:rsidR="00FD575C" w:rsidRPr="0003067F">
        <w:rPr>
          <w:rFonts w:asciiTheme="majorHAnsi" w:hAnsiTheme="majorHAnsi" w:cstheme="majorHAnsi"/>
          <w:sz w:val="22"/>
          <w:szCs w:val="22"/>
        </w:rPr>
        <w:t>These meetings function as data clubs (including practice talk sessions for the students, and development of collaborations between labs), journal clubs and career development sessions covering a variety of topics of interest to the students, such as comparisons of various careers, and advice for writing fellowships and papers.</w:t>
      </w:r>
      <w:r w:rsidRPr="0003067F">
        <w:rPr>
          <w:rFonts w:asciiTheme="majorHAnsi" w:hAnsiTheme="majorHAnsi" w:cstheme="majorHAnsi"/>
          <w:sz w:val="22"/>
          <w:szCs w:val="22"/>
        </w:rPr>
        <w:t xml:space="preserve"> </w:t>
      </w:r>
    </w:p>
    <w:p w14:paraId="18BE1C67" w14:textId="77777777" w:rsidR="001475BD" w:rsidRPr="0003067F" w:rsidRDefault="001475BD" w:rsidP="001475BD">
      <w:pPr>
        <w:jc w:val="both"/>
        <w:rPr>
          <w:rFonts w:asciiTheme="majorHAnsi" w:hAnsiTheme="majorHAnsi" w:cstheme="majorHAnsi"/>
          <w:sz w:val="22"/>
          <w:szCs w:val="22"/>
        </w:rPr>
      </w:pPr>
    </w:p>
    <w:p w14:paraId="41ACBE66" w14:textId="34DAE8D7" w:rsidR="001475BD" w:rsidRPr="0003067F" w:rsidRDefault="001475BD" w:rsidP="001475BD">
      <w:pPr>
        <w:jc w:val="both"/>
        <w:rPr>
          <w:rFonts w:asciiTheme="majorHAnsi" w:hAnsiTheme="majorHAnsi" w:cstheme="majorHAnsi"/>
          <w:sz w:val="22"/>
          <w:szCs w:val="22"/>
        </w:rPr>
      </w:pPr>
      <w:r w:rsidRPr="0003067F">
        <w:rPr>
          <w:rFonts w:asciiTheme="majorHAnsi" w:hAnsiTheme="majorHAnsi" w:cstheme="majorHAnsi"/>
          <w:b/>
          <w:i/>
          <w:sz w:val="22"/>
          <w:szCs w:val="22"/>
          <w:u w:val="single"/>
        </w:rPr>
        <w:t>Weekly</w:t>
      </w:r>
      <w:r w:rsidR="00F25354" w:rsidRPr="0003067F">
        <w:rPr>
          <w:rFonts w:asciiTheme="majorHAnsi" w:hAnsiTheme="majorHAnsi" w:cstheme="majorHAnsi"/>
          <w:b/>
          <w:i/>
          <w:sz w:val="22"/>
          <w:szCs w:val="22"/>
          <w:u w:val="single"/>
        </w:rPr>
        <w:t xml:space="preserve"> TSGP</w:t>
      </w:r>
      <w:r w:rsidRPr="0003067F">
        <w:rPr>
          <w:rFonts w:asciiTheme="majorHAnsi" w:hAnsiTheme="majorHAnsi" w:cstheme="majorHAnsi"/>
          <w:b/>
          <w:i/>
          <w:sz w:val="22"/>
          <w:szCs w:val="22"/>
          <w:u w:val="single"/>
        </w:rPr>
        <w:t xml:space="preserve"> seminars</w:t>
      </w:r>
      <w:r w:rsidRPr="0003067F">
        <w:rPr>
          <w:rFonts w:asciiTheme="majorHAnsi" w:hAnsiTheme="majorHAnsi" w:cstheme="majorHAnsi"/>
          <w:sz w:val="22"/>
          <w:szCs w:val="22"/>
        </w:rPr>
        <w:t xml:space="preserve"> occur throughout the academic year, and feature respected scientists from around the country. </w:t>
      </w:r>
      <w:r w:rsidR="00F41C53" w:rsidRPr="0003067F">
        <w:rPr>
          <w:rFonts w:asciiTheme="majorHAnsi" w:hAnsiTheme="majorHAnsi" w:cstheme="majorHAnsi"/>
          <w:sz w:val="22"/>
          <w:szCs w:val="22"/>
        </w:rPr>
        <w:t xml:space="preserve"> </w:t>
      </w:r>
      <w:r w:rsidR="00F25354" w:rsidRPr="0003067F">
        <w:rPr>
          <w:rFonts w:asciiTheme="majorHAnsi" w:hAnsiTheme="majorHAnsi" w:cstheme="majorHAnsi"/>
          <w:sz w:val="22"/>
          <w:szCs w:val="22"/>
        </w:rPr>
        <w:t>TSGP</w:t>
      </w:r>
      <w:r w:rsidRPr="0003067F">
        <w:rPr>
          <w:rFonts w:asciiTheme="majorHAnsi" w:hAnsiTheme="majorHAnsi" w:cstheme="majorHAnsi"/>
          <w:sz w:val="22"/>
          <w:szCs w:val="22"/>
        </w:rPr>
        <w:t xml:space="preserve"> students are required to attend these seminars, and are encouraged to attend other weekly seminars </w:t>
      </w:r>
      <w:r w:rsidR="00CF62FF" w:rsidRPr="0003067F">
        <w:rPr>
          <w:rFonts w:asciiTheme="majorHAnsi" w:hAnsiTheme="majorHAnsi" w:cstheme="majorHAnsi"/>
          <w:sz w:val="22"/>
          <w:szCs w:val="22"/>
        </w:rPr>
        <w:t xml:space="preserve">that may be </w:t>
      </w:r>
      <w:r w:rsidRPr="0003067F">
        <w:rPr>
          <w:rFonts w:asciiTheme="majorHAnsi" w:hAnsiTheme="majorHAnsi" w:cstheme="majorHAnsi"/>
          <w:sz w:val="22"/>
          <w:szCs w:val="22"/>
        </w:rPr>
        <w:t xml:space="preserve">of interest </w:t>
      </w:r>
      <w:r w:rsidR="00F25354" w:rsidRPr="0003067F">
        <w:rPr>
          <w:rFonts w:asciiTheme="majorHAnsi" w:hAnsiTheme="majorHAnsi" w:cstheme="majorHAnsi"/>
          <w:sz w:val="22"/>
          <w:szCs w:val="22"/>
        </w:rPr>
        <w:t xml:space="preserve">that are </w:t>
      </w:r>
      <w:r w:rsidRPr="0003067F">
        <w:rPr>
          <w:rFonts w:asciiTheme="majorHAnsi" w:hAnsiTheme="majorHAnsi" w:cstheme="majorHAnsi"/>
          <w:sz w:val="22"/>
          <w:szCs w:val="22"/>
        </w:rPr>
        <w:t xml:space="preserve">presented by Neuroscience, MCB and other </w:t>
      </w:r>
      <w:r w:rsidR="00F25354" w:rsidRPr="0003067F">
        <w:rPr>
          <w:rFonts w:asciiTheme="majorHAnsi" w:hAnsiTheme="majorHAnsi" w:cstheme="majorHAnsi"/>
          <w:sz w:val="22"/>
          <w:szCs w:val="22"/>
        </w:rPr>
        <w:t>programs</w:t>
      </w:r>
      <w:r w:rsidRPr="0003067F">
        <w:rPr>
          <w:rFonts w:asciiTheme="majorHAnsi" w:hAnsiTheme="majorHAnsi" w:cstheme="majorHAnsi"/>
          <w:sz w:val="22"/>
          <w:szCs w:val="22"/>
        </w:rPr>
        <w:t xml:space="preserve">, as well as monthly </w:t>
      </w:r>
      <w:r w:rsidRPr="0003067F">
        <w:rPr>
          <w:rFonts w:asciiTheme="majorHAnsi" w:hAnsiTheme="majorHAnsi" w:cstheme="majorHAnsi"/>
          <w:i/>
          <w:sz w:val="22"/>
          <w:szCs w:val="22"/>
        </w:rPr>
        <w:t>Bench to Bedside</w:t>
      </w:r>
      <w:r w:rsidRPr="0003067F">
        <w:rPr>
          <w:rFonts w:asciiTheme="majorHAnsi" w:hAnsiTheme="majorHAnsi" w:cstheme="majorHAnsi"/>
          <w:sz w:val="22"/>
          <w:szCs w:val="22"/>
        </w:rPr>
        <w:t xml:space="preserve"> seminars (Neuroscience), and various PhD defenses and journal clubs. </w:t>
      </w:r>
      <w:r w:rsidR="0012189D" w:rsidRPr="0003067F">
        <w:rPr>
          <w:rFonts w:asciiTheme="majorHAnsi" w:hAnsiTheme="majorHAnsi" w:cstheme="majorHAnsi"/>
          <w:sz w:val="22"/>
          <w:szCs w:val="22"/>
        </w:rPr>
        <w:t xml:space="preserve"> </w:t>
      </w:r>
      <w:r w:rsidRPr="0003067F">
        <w:rPr>
          <w:rFonts w:asciiTheme="majorHAnsi" w:hAnsiTheme="majorHAnsi" w:cstheme="majorHAnsi"/>
          <w:sz w:val="22"/>
          <w:szCs w:val="22"/>
        </w:rPr>
        <w:t>These provide a huge variety of scientific interactions outside our specific graduate program.</w:t>
      </w:r>
      <w:r w:rsidR="003645AD" w:rsidRPr="0003067F">
        <w:rPr>
          <w:rFonts w:asciiTheme="majorHAnsi" w:hAnsiTheme="majorHAnsi" w:cstheme="majorHAnsi"/>
          <w:sz w:val="22"/>
          <w:szCs w:val="22"/>
        </w:rPr>
        <w:t xml:space="preserve">  The seminar speaker selection committee includes TSGP students and faculty.</w:t>
      </w:r>
    </w:p>
    <w:p w14:paraId="25F17DF8" w14:textId="77777777" w:rsidR="001475BD" w:rsidRPr="0003067F" w:rsidRDefault="001475BD" w:rsidP="001475BD">
      <w:pPr>
        <w:jc w:val="both"/>
        <w:rPr>
          <w:rFonts w:asciiTheme="majorHAnsi" w:hAnsiTheme="majorHAnsi" w:cstheme="majorHAnsi"/>
          <w:sz w:val="22"/>
          <w:szCs w:val="22"/>
        </w:rPr>
      </w:pPr>
    </w:p>
    <w:p w14:paraId="6F2C6D6C" w14:textId="279403C7" w:rsidR="00B55428" w:rsidRPr="0003067F" w:rsidRDefault="00B55428" w:rsidP="001475BD">
      <w:pPr>
        <w:jc w:val="both"/>
        <w:rPr>
          <w:rFonts w:asciiTheme="majorHAnsi" w:hAnsiTheme="majorHAnsi" w:cstheme="majorHAnsi"/>
          <w:sz w:val="22"/>
          <w:szCs w:val="22"/>
        </w:rPr>
      </w:pPr>
      <w:r w:rsidRPr="0003067F">
        <w:rPr>
          <w:rFonts w:asciiTheme="majorHAnsi" w:hAnsiTheme="majorHAnsi" w:cstheme="majorHAnsi"/>
          <w:b/>
          <w:i/>
          <w:sz w:val="22"/>
          <w:szCs w:val="22"/>
          <w:u w:val="single"/>
        </w:rPr>
        <w:t>Student-organized peer-mentoring lunches and dinners</w:t>
      </w:r>
      <w:r w:rsidRPr="0003067F">
        <w:rPr>
          <w:rFonts w:asciiTheme="majorHAnsi" w:hAnsiTheme="majorHAnsi" w:cstheme="majorHAnsi"/>
          <w:sz w:val="22"/>
          <w:szCs w:val="22"/>
        </w:rPr>
        <w:t xml:space="preserve"> were </w:t>
      </w:r>
      <w:r w:rsidR="00263ECE" w:rsidRPr="0003067F">
        <w:rPr>
          <w:rFonts w:asciiTheme="majorHAnsi" w:hAnsiTheme="majorHAnsi" w:cstheme="majorHAnsi"/>
          <w:sz w:val="22"/>
          <w:szCs w:val="22"/>
        </w:rPr>
        <w:t>initiated</w:t>
      </w:r>
      <w:r w:rsidRPr="0003067F">
        <w:rPr>
          <w:rFonts w:asciiTheme="majorHAnsi" w:hAnsiTheme="majorHAnsi" w:cstheme="majorHAnsi"/>
          <w:sz w:val="22"/>
          <w:szCs w:val="22"/>
        </w:rPr>
        <w:t xml:space="preserve"> by </w:t>
      </w:r>
      <w:r w:rsidR="00263ECE" w:rsidRPr="0003067F">
        <w:rPr>
          <w:rFonts w:asciiTheme="majorHAnsi" w:hAnsiTheme="majorHAnsi" w:cstheme="majorHAnsi"/>
          <w:sz w:val="22"/>
          <w:szCs w:val="22"/>
        </w:rPr>
        <w:t>students</w:t>
      </w:r>
      <w:r w:rsidRPr="0003067F">
        <w:rPr>
          <w:rFonts w:asciiTheme="majorHAnsi" w:hAnsiTheme="majorHAnsi" w:cstheme="majorHAnsi"/>
          <w:sz w:val="22"/>
          <w:szCs w:val="22"/>
        </w:rPr>
        <w:t xml:space="preserve"> to advise </w:t>
      </w:r>
      <w:r w:rsidR="00263ECE" w:rsidRPr="0003067F">
        <w:rPr>
          <w:rFonts w:asciiTheme="majorHAnsi" w:hAnsiTheme="majorHAnsi" w:cstheme="majorHAnsi"/>
          <w:sz w:val="22"/>
          <w:szCs w:val="22"/>
        </w:rPr>
        <w:t>those</w:t>
      </w:r>
      <w:r w:rsidRPr="0003067F">
        <w:rPr>
          <w:rFonts w:asciiTheme="majorHAnsi" w:hAnsiTheme="majorHAnsi" w:cstheme="majorHAnsi"/>
          <w:sz w:val="22"/>
          <w:szCs w:val="22"/>
        </w:rPr>
        <w:t xml:space="preserve"> entering the program after them.  </w:t>
      </w:r>
      <w:r w:rsidR="00B5050D" w:rsidRPr="0003067F">
        <w:rPr>
          <w:rFonts w:asciiTheme="majorHAnsi" w:hAnsiTheme="majorHAnsi" w:cstheme="majorHAnsi"/>
          <w:sz w:val="22"/>
          <w:szCs w:val="22"/>
        </w:rPr>
        <w:t xml:space="preserve">See the </w:t>
      </w:r>
      <w:r w:rsidR="00B5050D" w:rsidRPr="0003067F">
        <w:rPr>
          <w:rFonts w:asciiTheme="majorHAnsi" w:hAnsiTheme="majorHAnsi" w:cstheme="majorHAnsi"/>
          <w:b/>
          <w:sz w:val="22"/>
          <w:szCs w:val="22"/>
        </w:rPr>
        <w:t>Peer-to-peer Advising</w:t>
      </w:r>
      <w:r w:rsidR="00B5050D" w:rsidRPr="0003067F">
        <w:rPr>
          <w:rFonts w:asciiTheme="majorHAnsi" w:hAnsiTheme="majorHAnsi" w:cstheme="majorHAnsi"/>
          <w:sz w:val="22"/>
          <w:szCs w:val="22"/>
        </w:rPr>
        <w:t xml:space="preserve"> description </w:t>
      </w:r>
      <w:r w:rsidR="00AC55BC" w:rsidRPr="0003067F">
        <w:rPr>
          <w:rFonts w:asciiTheme="majorHAnsi" w:hAnsiTheme="majorHAnsi" w:cstheme="majorHAnsi"/>
          <w:sz w:val="22"/>
          <w:szCs w:val="22"/>
        </w:rPr>
        <w:t xml:space="preserve">above, </w:t>
      </w:r>
      <w:r w:rsidR="00B5050D" w:rsidRPr="0003067F">
        <w:rPr>
          <w:rFonts w:asciiTheme="majorHAnsi" w:hAnsiTheme="majorHAnsi" w:cstheme="majorHAnsi"/>
          <w:sz w:val="22"/>
          <w:szCs w:val="22"/>
        </w:rPr>
        <w:t xml:space="preserve">under </w:t>
      </w:r>
      <w:r w:rsidR="00B5050D" w:rsidRPr="0003067F">
        <w:rPr>
          <w:rFonts w:asciiTheme="majorHAnsi" w:hAnsiTheme="majorHAnsi" w:cstheme="majorHAnsi"/>
          <w:b/>
          <w:color w:val="000000"/>
          <w:sz w:val="22"/>
          <w:szCs w:val="22"/>
        </w:rPr>
        <w:t>Advising and Resources for Student Support</w:t>
      </w:r>
      <w:r w:rsidR="00B5050D" w:rsidRPr="0003067F">
        <w:rPr>
          <w:rFonts w:asciiTheme="majorHAnsi" w:hAnsiTheme="majorHAnsi" w:cstheme="majorHAnsi"/>
          <w:sz w:val="22"/>
          <w:szCs w:val="22"/>
        </w:rPr>
        <w:t xml:space="preserve">. </w:t>
      </w:r>
    </w:p>
    <w:p w14:paraId="0AE67062" w14:textId="77777777" w:rsidR="00C85870" w:rsidRPr="00D17C37" w:rsidRDefault="00C85870" w:rsidP="001475BD">
      <w:pPr>
        <w:jc w:val="both"/>
        <w:rPr>
          <w:rFonts w:asciiTheme="majorHAnsi" w:hAnsiTheme="majorHAnsi" w:cstheme="majorHAnsi"/>
          <w:sz w:val="22"/>
          <w:szCs w:val="22"/>
        </w:rPr>
      </w:pPr>
    </w:p>
    <w:p w14:paraId="359B8F75" w14:textId="4440B57B" w:rsidR="00F57F31" w:rsidRPr="00D17C37" w:rsidRDefault="00C85870" w:rsidP="001475BD">
      <w:pPr>
        <w:jc w:val="both"/>
        <w:rPr>
          <w:rFonts w:asciiTheme="majorHAnsi" w:hAnsiTheme="majorHAnsi" w:cstheme="majorHAnsi"/>
          <w:sz w:val="22"/>
          <w:szCs w:val="22"/>
        </w:rPr>
      </w:pPr>
      <w:r w:rsidRPr="00D17C37">
        <w:rPr>
          <w:rFonts w:asciiTheme="majorHAnsi" w:hAnsiTheme="majorHAnsi" w:cstheme="majorHAnsi"/>
          <w:b/>
          <w:i/>
          <w:sz w:val="22"/>
          <w:szCs w:val="22"/>
          <w:u w:val="single"/>
        </w:rPr>
        <w:t xml:space="preserve">Monthly </w:t>
      </w:r>
      <w:r w:rsidR="00664DFE" w:rsidRPr="00D17C37">
        <w:rPr>
          <w:rFonts w:asciiTheme="majorHAnsi" w:hAnsiTheme="majorHAnsi" w:cstheme="majorHAnsi"/>
          <w:b/>
          <w:i/>
          <w:sz w:val="22"/>
          <w:szCs w:val="22"/>
          <w:u w:val="single"/>
        </w:rPr>
        <w:t>Faculty-Student Lunches</w:t>
      </w:r>
      <w:r w:rsidR="00553D47" w:rsidRPr="00D17C37">
        <w:rPr>
          <w:rFonts w:asciiTheme="majorHAnsi" w:hAnsiTheme="majorHAnsi" w:cstheme="majorHAnsi"/>
          <w:b/>
          <w:i/>
          <w:sz w:val="22"/>
          <w:szCs w:val="22"/>
          <w:u w:val="single"/>
        </w:rPr>
        <w:t>.</w:t>
      </w:r>
      <w:r w:rsidRPr="00D17C37">
        <w:rPr>
          <w:rFonts w:asciiTheme="majorHAnsi" w:hAnsiTheme="majorHAnsi" w:cstheme="majorHAnsi"/>
          <w:b/>
          <w:sz w:val="22"/>
          <w:szCs w:val="22"/>
        </w:rPr>
        <w:t xml:space="preserve"> </w:t>
      </w:r>
      <w:r w:rsidR="00553D47" w:rsidRPr="00D17C37">
        <w:rPr>
          <w:rFonts w:asciiTheme="majorHAnsi" w:hAnsiTheme="majorHAnsi" w:cstheme="majorHAnsi"/>
          <w:sz w:val="22"/>
          <w:szCs w:val="22"/>
        </w:rPr>
        <w:t>Each of these is</w:t>
      </w:r>
      <w:r w:rsidR="00553D47" w:rsidRPr="00D17C37">
        <w:rPr>
          <w:rFonts w:asciiTheme="majorHAnsi" w:hAnsiTheme="majorHAnsi" w:cstheme="majorHAnsi"/>
          <w:b/>
          <w:sz w:val="22"/>
          <w:szCs w:val="22"/>
        </w:rPr>
        <w:t xml:space="preserve"> </w:t>
      </w:r>
      <w:r w:rsidRPr="00D17C37">
        <w:rPr>
          <w:rFonts w:asciiTheme="majorHAnsi" w:hAnsiTheme="majorHAnsi" w:cstheme="majorHAnsi"/>
          <w:sz w:val="22"/>
          <w:szCs w:val="22"/>
        </w:rPr>
        <w:t xml:space="preserve">attended by one faculty trainer and </w:t>
      </w:r>
      <w:r w:rsidR="00553D47" w:rsidRPr="00D17C37">
        <w:rPr>
          <w:rFonts w:asciiTheme="majorHAnsi" w:hAnsiTheme="majorHAnsi" w:cstheme="majorHAnsi"/>
          <w:sz w:val="22"/>
          <w:szCs w:val="22"/>
        </w:rPr>
        <w:t xml:space="preserve">several </w:t>
      </w:r>
      <w:r w:rsidR="00F57F31" w:rsidRPr="00D17C37">
        <w:rPr>
          <w:rFonts w:asciiTheme="majorHAnsi" w:hAnsiTheme="majorHAnsi" w:cstheme="majorHAnsi"/>
          <w:sz w:val="22"/>
          <w:szCs w:val="22"/>
        </w:rPr>
        <w:t xml:space="preserve">students, including </w:t>
      </w:r>
      <w:r w:rsidRPr="00D17C37">
        <w:rPr>
          <w:rFonts w:asciiTheme="majorHAnsi" w:hAnsiTheme="majorHAnsi" w:cstheme="majorHAnsi"/>
          <w:sz w:val="22"/>
          <w:szCs w:val="22"/>
        </w:rPr>
        <w:t>current and past T32 trainees</w:t>
      </w:r>
      <w:r w:rsidR="00F21844" w:rsidRPr="00D17C37">
        <w:rPr>
          <w:rFonts w:asciiTheme="majorHAnsi" w:hAnsiTheme="majorHAnsi" w:cstheme="majorHAnsi"/>
          <w:sz w:val="22"/>
          <w:szCs w:val="22"/>
        </w:rPr>
        <w:t xml:space="preserve">.  Each </w:t>
      </w:r>
      <w:r w:rsidR="00664DFE" w:rsidRPr="00D17C37">
        <w:rPr>
          <w:rFonts w:asciiTheme="majorHAnsi" w:hAnsiTheme="majorHAnsi" w:cstheme="majorHAnsi"/>
          <w:sz w:val="22"/>
          <w:szCs w:val="22"/>
        </w:rPr>
        <w:t>lunch</w:t>
      </w:r>
      <w:r w:rsidR="00F21844" w:rsidRPr="00D17C37">
        <w:rPr>
          <w:rFonts w:asciiTheme="majorHAnsi" w:hAnsiTheme="majorHAnsi" w:cstheme="majorHAnsi"/>
          <w:sz w:val="22"/>
          <w:szCs w:val="22"/>
        </w:rPr>
        <w:t xml:space="preserve"> includes </w:t>
      </w:r>
      <w:r w:rsidRPr="00D17C37">
        <w:rPr>
          <w:rFonts w:asciiTheme="majorHAnsi" w:hAnsiTheme="majorHAnsi" w:cstheme="majorHAnsi"/>
          <w:sz w:val="22"/>
          <w:szCs w:val="22"/>
        </w:rPr>
        <w:t xml:space="preserve">a round-table discussion of the trainer's research and career path, as well as of </w:t>
      </w:r>
      <w:r w:rsidR="00F57F31" w:rsidRPr="00D17C37">
        <w:rPr>
          <w:rFonts w:asciiTheme="majorHAnsi" w:hAnsiTheme="majorHAnsi" w:cstheme="majorHAnsi"/>
          <w:sz w:val="22"/>
          <w:szCs w:val="22"/>
        </w:rPr>
        <w:t xml:space="preserve">student </w:t>
      </w:r>
      <w:r w:rsidRPr="00D17C37">
        <w:rPr>
          <w:rFonts w:asciiTheme="majorHAnsi" w:hAnsiTheme="majorHAnsi" w:cstheme="majorHAnsi"/>
          <w:sz w:val="22"/>
          <w:szCs w:val="22"/>
        </w:rPr>
        <w:t>experiences and questions.  A different faculty trainer host</w:t>
      </w:r>
      <w:r w:rsidR="007C3486" w:rsidRPr="00D17C37">
        <w:rPr>
          <w:rFonts w:asciiTheme="majorHAnsi" w:hAnsiTheme="majorHAnsi" w:cstheme="majorHAnsi"/>
          <w:sz w:val="22"/>
          <w:szCs w:val="22"/>
        </w:rPr>
        <w:t xml:space="preserve">s the </w:t>
      </w:r>
      <w:r w:rsidR="00664DFE" w:rsidRPr="00D17C37">
        <w:rPr>
          <w:rFonts w:asciiTheme="majorHAnsi" w:hAnsiTheme="majorHAnsi" w:cstheme="majorHAnsi"/>
          <w:sz w:val="22"/>
          <w:szCs w:val="22"/>
        </w:rPr>
        <w:t>lunch</w:t>
      </w:r>
      <w:r w:rsidRPr="00D17C37">
        <w:rPr>
          <w:rFonts w:asciiTheme="majorHAnsi" w:hAnsiTheme="majorHAnsi" w:cstheme="majorHAnsi"/>
          <w:sz w:val="22"/>
          <w:szCs w:val="22"/>
        </w:rPr>
        <w:t xml:space="preserve"> each month.  These </w:t>
      </w:r>
      <w:r w:rsidR="00664DFE" w:rsidRPr="00D17C37">
        <w:rPr>
          <w:rFonts w:asciiTheme="majorHAnsi" w:hAnsiTheme="majorHAnsi" w:cstheme="majorHAnsi"/>
          <w:sz w:val="22"/>
          <w:szCs w:val="22"/>
        </w:rPr>
        <w:t>lunches</w:t>
      </w:r>
      <w:r w:rsidRPr="00D17C37">
        <w:rPr>
          <w:rFonts w:asciiTheme="majorHAnsi" w:hAnsiTheme="majorHAnsi" w:cstheme="majorHAnsi"/>
          <w:sz w:val="22"/>
          <w:szCs w:val="22"/>
        </w:rPr>
        <w:t xml:space="preserve"> allow maintained interactions between </w:t>
      </w:r>
      <w:r w:rsidR="00664DFE" w:rsidRPr="00D17C37">
        <w:rPr>
          <w:rFonts w:asciiTheme="majorHAnsi" w:hAnsiTheme="majorHAnsi" w:cstheme="majorHAnsi"/>
          <w:sz w:val="22"/>
          <w:szCs w:val="22"/>
        </w:rPr>
        <w:t>faculty</w:t>
      </w:r>
      <w:r w:rsidRPr="00D17C37">
        <w:rPr>
          <w:rFonts w:asciiTheme="majorHAnsi" w:hAnsiTheme="majorHAnsi" w:cstheme="majorHAnsi"/>
          <w:sz w:val="22"/>
          <w:szCs w:val="22"/>
        </w:rPr>
        <w:t xml:space="preserve"> trainers and </w:t>
      </w:r>
      <w:r w:rsidR="00664DFE" w:rsidRPr="00D17C37">
        <w:rPr>
          <w:rFonts w:asciiTheme="majorHAnsi" w:hAnsiTheme="majorHAnsi" w:cstheme="majorHAnsi"/>
          <w:sz w:val="22"/>
          <w:szCs w:val="22"/>
        </w:rPr>
        <w:t>students</w:t>
      </w:r>
      <w:r w:rsidRPr="00D17C37">
        <w:rPr>
          <w:rFonts w:asciiTheme="majorHAnsi" w:hAnsiTheme="majorHAnsi" w:cstheme="majorHAnsi"/>
          <w:sz w:val="22"/>
          <w:szCs w:val="22"/>
        </w:rPr>
        <w:t xml:space="preserve"> beyond the first year.  </w:t>
      </w:r>
    </w:p>
    <w:p w14:paraId="70AE60B0" w14:textId="77777777" w:rsidR="009E2550" w:rsidRPr="00D17C37" w:rsidRDefault="009E2550" w:rsidP="009E2550">
      <w:pPr>
        <w:jc w:val="both"/>
        <w:rPr>
          <w:rFonts w:asciiTheme="majorHAnsi" w:hAnsiTheme="majorHAnsi" w:cstheme="majorHAnsi"/>
          <w:sz w:val="22"/>
          <w:szCs w:val="22"/>
        </w:rPr>
      </w:pPr>
    </w:p>
    <w:p w14:paraId="6CC02085" w14:textId="20847129" w:rsidR="009E2550" w:rsidRPr="00D17C37" w:rsidRDefault="009E2550" w:rsidP="009E2550">
      <w:pPr>
        <w:jc w:val="both"/>
        <w:rPr>
          <w:rFonts w:asciiTheme="majorHAnsi" w:hAnsiTheme="majorHAnsi" w:cstheme="majorHAnsi"/>
          <w:sz w:val="22"/>
          <w:szCs w:val="22"/>
        </w:rPr>
      </w:pPr>
      <w:r w:rsidRPr="00D17C37">
        <w:rPr>
          <w:rFonts w:asciiTheme="majorHAnsi" w:hAnsiTheme="majorHAnsi" w:cstheme="majorHAnsi"/>
          <w:b/>
          <w:i/>
          <w:sz w:val="22"/>
          <w:szCs w:val="22"/>
          <w:u w:val="single"/>
        </w:rPr>
        <w:t>Initiative to Maximize Student Development</w:t>
      </w:r>
      <w:r w:rsidRPr="00D17C37">
        <w:rPr>
          <w:rFonts w:asciiTheme="majorHAnsi" w:hAnsiTheme="majorHAnsi" w:cstheme="majorHAnsi"/>
          <w:i/>
          <w:sz w:val="22"/>
          <w:szCs w:val="22"/>
          <w:u w:val="single"/>
        </w:rPr>
        <w:t xml:space="preserve"> </w:t>
      </w:r>
      <w:r w:rsidRPr="00D17C37">
        <w:rPr>
          <w:rFonts w:asciiTheme="majorHAnsi" w:hAnsiTheme="majorHAnsi" w:cstheme="majorHAnsi"/>
          <w:b/>
          <w:i/>
          <w:sz w:val="22"/>
          <w:szCs w:val="22"/>
          <w:u w:val="single"/>
        </w:rPr>
        <w:t>(IMSD) training modules</w:t>
      </w:r>
      <w:r w:rsidRPr="00D17C37">
        <w:rPr>
          <w:rFonts w:asciiTheme="majorHAnsi" w:hAnsiTheme="majorHAnsi" w:cstheme="majorHAnsi"/>
          <w:sz w:val="22"/>
          <w:szCs w:val="22"/>
        </w:rPr>
        <w:t xml:space="preserve"> </w:t>
      </w:r>
      <w:r w:rsidR="00603D4C" w:rsidRPr="00D17C37">
        <w:rPr>
          <w:rFonts w:asciiTheme="majorHAnsi" w:hAnsiTheme="majorHAnsi" w:cstheme="majorHAnsi"/>
          <w:sz w:val="22"/>
          <w:szCs w:val="22"/>
        </w:rPr>
        <w:t xml:space="preserve">are optional and </w:t>
      </w:r>
      <w:r w:rsidRPr="00D17C37">
        <w:rPr>
          <w:rFonts w:asciiTheme="majorHAnsi" w:hAnsiTheme="majorHAnsi" w:cstheme="majorHAnsi"/>
          <w:sz w:val="22"/>
          <w:szCs w:val="22"/>
        </w:rPr>
        <w:t>provide interaction</w:t>
      </w:r>
      <w:r w:rsidR="00014C18" w:rsidRPr="00D17C37">
        <w:rPr>
          <w:rFonts w:asciiTheme="majorHAnsi" w:hAnsiTheme="majorHAnsi" w:cstheme="majorHAnsi"/>
          <w:sz w:val="22"/>
          <w:szCs w:val="22"/>
        </w:rPr>
        <w:t>s</w:t>
      </w:r>
      <w:r w:rsidRPr="00D17C37">
        <w:rPr>
          <w:rFonts w:asciiTheme="majorHAnsi" w:hAnsiTheme="majorHAnsi" w:cstheme="majorHAnsi"/>
          <w:sz w:val="22"/>
          <w:szCs w:val="22"/>
        </w:rPr>
        <w:t xml:space="preserve"> with graduate students from the entire university, as well as more exposure to faculty trainers and very useful tools for excelling in graduate school and in a scientific career. </w:t>
      </w:r>
      <w:r w:rsidR="00603D4C" w:rsidRPr="00D17C37">
        <w:rPr>
          <w:rFonts w:asciiTheme="majorHAnsi" w:hAnsiTheme="majorHAnsi" w:cstheme="majorHAnsi"/>
          <w:sz w:val="22"/>
          <w:szCs w:val="22"/>
        </w:rPr>
        <w:t xml:space="preserve"> </w:t>
      </w:r>
      <w:r w:rsidRPr="00D17C37">
        <w:rPr>
          <w:rFonts w:asciiTheme="majorHAnsi" w:hAnsiTheme="majorHAnsi" w:cstheme="majorHAnsi"/>
          <w:sz w:val="22"/>
          <w:szCs w:val="22"/>
        </w:rPr>
        <w:t>There are about</w:t>
      </w:r>
      <w:r w:rsidR="00830366" w:rsidRPr="00D17C37">
        <w:rPr>
          <w:rFonts w:asciiTheme="majorHAnsi" w:hAnsiTheme="majorHAnsi" w:cstheme="majorHAnsi"/>
          <w:sz w:val="22"/>
          <w:szCs w:val="22"/>
        </w:rPr>
        <w:t xml:space="preserve"> </w:t>
      </w:r>
      <w:r w:rsidRPr="00D17C37">
        <w:rPr>
          <w:rFonts w:asciiTheme="majorHAnsi" w:hAnsiTheme="majorHAnsi" w:cstheme="majorHAnsi"/>
          <w:sz w:val="22"/>
          <w:szCs w:val="22"/>
        </w:rPr>
        <w:t xml:space="preserve">a dozen of these modules, each of which is typically 6 hours in length, presented in three two-hour blocks within a week, and offered at various times of year, including during the academic year, and in </w:t>
      </w:r>
      <w:r w:rsidR="005009B5" w:rsidRPr="00D17C37">
        <w:rPr>
          <w:rFonts w:asciiTheme="majorHAnsi" w:hAnsiTheme="majorHAnsi" w:cstheme="majorHAnsi"/>
          <w:sz w:val="22"/>
          <w:szCs w:val="22"/>
        </w:rPr>
        <w:t xml:space="preserve">the </w:t>
      </w:r>
      <w:r w:rsidRPr="00D17C37">
        <w:rPr>
          <w:rFonts w:asciiTheme="majorHAnsi" w:hAnsiTheme="majorHAnsi" w:cstheme="majorHAnsi"/>
          <w:sz w:val="22"/>
          <w:szCs w:val="22"/>
        </w:rPr>
        <w:t>summer and winter breaks</w:t>
      </w:r>
      <w:r w:rsidR="005009B5" w:rsidRPr="00D17C37">
        <w:rPr>
          <w:rFonts w:asciiTheme="majorHAnsi" w:hAnsiTheme="majorHAnsi" w:cstheme="majorHAnsi"/>
          <w:sz w:val="22"/>
          <w:szCs w:val="22"/>
        </w:rPr>
        <w:t xml:space="preserve"> between regular classes</w:t>
      </w:r>
      <w:r w:rsidRPr="00D17C37">
        <w:rPr>
          <w:rFonts w:asciiTheme="majorHAnsi" w:hAnsiTheme="majorHAnsi" w:cstheme="majorHAnsi"/>
          <w:sz w:val="22"/>
          <w:szCs w:val="22"/>
        </w:rPr>
        <w:t xml:space="preserve">.  </w:t>
      </w:r>
      <w:r w:rsidR="00014C18" w:rsidRPr="00D17C37">
        <w:rPr>
          <w:rFonts w:asciiTheme="majorHAnsi" w:hAnsiTheme="majorHAnsi" w:cstheme="majorHAnsi"/>
          <w:sz w:val="22"/>
          <w:szCs w:val="22"/>
        </w:rPr>
        <w:t xml:space="preserve">The modules </w:t>
      </w:r>
      <w:r w:rsidRPr="00D17C37">
        <w:rPr>
          <w:rFonts w:asciiTheme="majorHAnsi" w:hAnsiTheme="majorHAnsi" w:cstheme="majorHAnsi"/>
          <w:sz w:val="22"/>
          <w:szCs w:val="22"/>
        </w:rPr>
        <w:t xml:space="preserve">are taught by Brown faculty, including many </w:t>
      </w:r>
      <w:r w:rsidR="005009B5" w:rsidRPr="00D17C37">
        <w:rPr>
          <w:rFonts w:asciiTheme="majorHAnsi" w:hAnsiTheme="majorHAnsi" w:cstheme="majorHAnsi"/>
          <w:sz w:val="22"/>
          <w:szCs w:val="22"/>
        </w:rPr>
        <w:t>TSGP</w:t>
      </w:r>
      <w:r w:rsidRPr="00D17C37">
        <w:rPr>
          <w:rFonts w:asciiTheme="majorHAnsi" w:hAnsiTheme="majorHAnsi" w:cstheme="majorHAnsi"/>
          <w:sz w:val="22"/>
          <w:szCs w:val="22"/>
        </w:rPr>
        <w:t xml:space="preserve"> T32 trainers.  Some examples of modules are "De-m</w:t>
      </w:r>
      <w:r w:rsidR="005A365C" w:rsidRPr="00D17C37">
        <w:rPr>
          <w:rFonts w:asciiTheme="majorHAnsi" w:hAnsiTheme="majorHAnsi" w:cstheme="majorHAnsi"/>
          <w:sz w:val="22"/>
          <w:szCs w:val="22"/>
        </w:rPr>
        <w:t>y</w:t>
      </w:r>
      <w:r w:rsidRPr="00D17C37">
        <w:rPr>
          <w:rFonts w:asciiTheme="majorHAnsi" w:hAnsiTheme="majorHAnsi" w:cstheme="majorHAnsi"/>
          <w:sz w:val="22"/>
          <w:szCs w:val="22"/>
        </w:rPr>
        <w:t>stifying the PhD" and "Scientific Writing"; more examples are included on the Brown IMSD website.</w:t>
      </w:r>
    </w:p>
    <w:p w14:paraId="6E32304F" w14:textId="77777777" w:rsidR="00B55428" w:rsidRPr="00D17C37" w:rsidRDefault="00B55428" w:rsidP="001475BD">
      <w:pPr>
        <w:jc w:val="both"/>
        <w:rPr>
          <w:rFonts w:asciiTheme="majorHAnsi" w:hAnsiTheme="majorHAnsi" w:cstheme="majorHAnsi"/>
          <w:sz w:val="22"/>
          <w:szCs w:val="22"/>
        </w:rPr>
      </w:pPr>
    </w:p>
    <w:p w14:paraId="34C54008" w14:textId="77777777" w:rsidR="00610A71" w:rsidRPr="00D17C37" w:rsidRDefault="00610A71" w:rsidP="001475BD">
      <w:pPr>
        <w:jc w:val="both"/>
        <w:rPr>
          <w:rFonts w:asciiTheme="majorHAnsi" w:hAnsiTheme="majorHAnsi" w:cstheme="majorHAnsi"/>
          <w:sz w:val="22"/>
          <w:szCs w:val="22"/>
        </w:rPr>
      </w:pPr>
    </w:p>
    <w:p w14:paraId="2C7A9037" w14:textId="2844A363" w:rsidR="008E248A" w:rsidRPr="00D17C37" w:rsidRDefault="008E248A" w:rsidP="008E248A">
      <w:pPr>
        <w:ind w:right="1728"/>
        <w:jc w:val="both"/>
        <w:rPr>
          <w:rFonts w:asciiTheme="majorHAnsi" w:hAnsiTheme="majorHAnsi" w:cstheme="majorHAnsi"/>
          <w:color w:val="000000"/>
          <w:sz w:val="22"/>
          <w:szCs w:val="22"/>
        </w:rPr>
      </w:pPr>
      <w:r w:rsidRPr="00D17C37">
        <w:rPr>
          <w:rFonts w:asciiTheme="majorHAnsi" w:hAnsiTheme="majorHAnsi" w:cstheme="majorHAnsi"/>
          <w:b/>
          <w:color w:val="000000"/>
          <w:sz w:val="22"/>
          <w:szCs w:val="22"/>
        </w:rPr>
        <w:t>V</w:t>
      </w:r>
      <w:r w:rsidR="00333E06" w:rsidRPr="00D17C37">
        <w:rPr>
          <w:rFonts w:asciiTheme="majorHAnsi" w:hAnsiTheme="majorHAnsi" w:cstheme="majorHAnsi"/>
          <w:b/>
          <w:color w:val="000000"/>
          <w:sz w:val="22"/>
          <w:szCs w:val="22"/>
        </w:rPr>
        <w:t>II</w:t>
      </w:r>
      <w:r w:rsidRPr="00D17C37">
        <w:rPr>
          <w:rFonts w:asciiTheme="majorHAnsi" w:hAnsiTheme="majorHAnsi" w:cstheme="majorHAnsi"/>
          <w:b/>
          <w:color w:val="000000"/>
          <w:sz w:val="22"/>
          <w:szCs w:val="22"/>
        </w:rPr>
        <w:t>. Student Seminars</w:t>
      </w:r>
    </w:p>
    <w:p w14:paraId="74FB5F5A" w14:textId="77777777" w:rsidR="008E248A" w:rsidRPr="00D17C37" w:rsidRDefault="008E248A" w:rsidP="008E248A">
      <w:pPr>
        <w:ind w:right="1728"/>
        <w:jc w:val="both"/>
        <w:rPr>
          <w:rFonts w:asciiTheme="majorHAnsi" w:hAnsiTheme="majorHAnsi" w:cstheme="majorHAnsi"/>
          <w:color w:val="000000"/>
          <w:sz w:val="22"/>
          <w:szCs w:val="22"/>
        </w:rPr>
      </w:pPr>
    </w:p>
    <w:p w14:paraId="60FFCE98" w14:textId="13F5F449" w:rsidR="00D17C37" w:rsidRDefault="00D17C37" w:rsidP="000967D1">
      <w:pPr>
        <w:jc w:val="both"/>
        <w:rPr>
          <w:rFonts w:asciiTheme="majorHAnsi" w:hAnsiTheme="majorHAnsi" w:cstheme="majorHAnsi"/>
          <w:color w:val="000000"/>
          <w:sz w:val="22"/>
          <w:szCs w:val="22"/>
        </w:rPr>
      </w:pPr>
      <w:r w:rsidRPr="00D17C37">
        <w:rPr>
          <w:rFonts w:asciiTheme="majorHAnsi" w:hAnsiTheme="majorHAnsi" w:cstheme="majorHAnsi"/>
          <w:color w:val="000000"/>
          <w:sz w:val="22"/>
          <w:szCs w:val="22"/>
        </w:rPr>
        <w:t>In May</w:t>
      </w:r>
      <w:r w:rsidR="008E248A" w:rsidRPr="00D17C37">
        <w:rPr>
          <w:rFonts w:asciiTheme="majorHAnsi" w:hAnsiTheme="majorHAnsi" w:cstheme="majorHAnsi"/>
          <w:color w:val="000000"/>
          <w:sz w:val="22"/>
          <w:szCs w:val="22"/>
        </w:rPr>
        <w:t xml:space="preserve"> of the first year, each student will present a brief seminar </w:t>
      </w:r>
      <w:r w:rsidR="000967D1" w:rsidRPr="00D17C37">
        <w:rPr>
          <w:rFonts w:asciiTheme="majorHAnsi" w:hAnsiTheme="majorHAnsi" w:cstheme="majorHAnsi"/>
          <w:color w:val="000000"/>
          <w:sz w:val="22"/>
          <w:szCs w:val="22"/>
        </w:rPr>
        <w:t xml:space="preserve">(typically about </w:t>
      </w:r>
      <w:r w:rsidRPr="00D17C37">
        <w:rPr>
          <w:rFonts w:asciiTheme="majorHAnsi" w:hAnsiTheme="majorHAnsi" w:cstheme="majorHAnsi"/>
          <w:color w:val="000000"/>
          <w:sz w:val="22"/>
          <w:szCs w:val="22"/>
        </w:rPr>
        <w:t>10-13</w:t>
      </w:r>
      <w:r w:rsidR="000967D1" w:rsidRPr="00D17C37">
        <w:rPr>
          <w:rFonts w:asciiTheme="majorHAnsi" w:hAnsiTheme="majorHAnsi" w:cstheme="majorHAnsi"/>
          <w:color w:val="000000"/>
          <w:sz w:val="22"/>
          <w:szCs w:val="22"/>
        </w:rPr>
        <w:t xml:space="preserve"> minutes</w:t>
      </w:r>
      <w:r w:rsidRPr="00D17C37">
        <w:rPr>
          <w:rFonts w:asciiTheme="majorHAnsi" w:hAnsiTheme="majorHAnsi" w:cstheme="majorHAnsi"/>
          <w:color w:val="000000"/>
          <w:sz w:val="22"/>
          <w:szCs w:val="22"/>
        </w:rPr>
        <w:t xml:space="preserve"> plus questions for a 15 minute block of time</w:t>
      </w:r>
      <w:r w:rsidR="000967D1" w:rsidRPr="00D17C37">
        <w:rPr>
          <w:rFonts w:asciiTheme="majorHAnsi" w:hAnsiTheme="majorHAnsi" w:cstheme="majorHAnsi"/>
          <w:color w:val="000000"/>
          <w:sz w:val="22"/>
          <w:szCs w:val="22"/>
        </w:rPr>
        <w:t xml:space="preserve">) </w:t>
      </w:r>
      <w:r w:rsidR="00B81749" w:rsidRPr="00D17C37">
        <w:rPr>
          <w:rFonts w:asciiTheme="majorHAnsi" w:hAnsiTheme="majorHAnsi" w:cstheme="majorHAnsi"/>
          <w:color w:val="000000"/>
          <w:sz w:val="22"/>
          <w:szCs w:val="22"/>
        </w:rPr>
        <w:t xml:space="preserve">to the </w:t>
      </w:r>
      <w:r w:rsidRPr="00D17C37">
        <w:rPr>
          <w:rFonts w:asciiTheme="majorHAnsi" w:hAnsiTheme="majorHAnsi" w:cstheme="majorHAnsi"/>
          <w:color w:val="000000"/>
          <w:sz w:val="22"/>
          <w:szCs w:val="22"/>
        </w:rPr>
        <w:t xml:space="preserve">TSGP faculty and students, as well as any other interested members of the Brown community. </w:t>
      </w:r>
      <w:r w:rsidR="00B81749" w:rsidRPr="00D17C37">
        <w:rPr>
          <w:rFonts w:asciiTheme="majorHAnsi" w:hAnsiTheme="majorHAnsi" w:cstheme="majorHAnsi"/>
          <w:color w:val="000000"/>
          <w:sz w:val="22"/>
          <w:szCs w:val="22"/>
        </w:rPr>
        <w:t xml:space="preserve"> </w:t>
      </w:r>
      <w:r w:rsidRPr="00D17C37">
        <w:rPr>
          <w:rFonts w:asciiTheme="majorHAnsi" w:hAnsiTheme="majorHAnsi" w:cstheme="majorHAnsi"/>
          <w:color w:val="000000"/>
          <w:sz w:val="22"/>
          <w:szCs w:val="22"/>
        </w:rPr>
        <w:t xml:space="preserve">The topic of the talk will be one of the student's 3 </w:t>
      </w:r>
      <w:r w:rsidR="008E248A" w:rsidRPr="00D17C37">
        <w:rPr>
          <w:rFonts w:asciiTheme="majorHAnsi" w:hAnsiTheme="majorHAnsi" w:cstheme="majorHAnsi"/>
          <w:color w:val="000000"/>
          <w:sz w:val="22"/>
          <w:szCs w:val="22"/>
        </w:rPr>
        <w:t>research rotation</w:t>
      </w:r>
      <w:r w:rsidRPr="00D17C37">
        <w:rPr>
          <w:rFonts w:asciiTheme="majorHAnsi" w:hAnsiTheme="majorHAnsi" w:cstheme="majorHAnsi"/>
          <w:color w:val="000000"/>
          <w:sz w:val="22"/>
          <w:szCs w:val="22"/>
        </w:rPr>
        <w:t xml:space="preserve"> projects; it is not restricted to a project in the lab the student will join for their thesis research, but instead can describe any one of the rotation projects, since some are easier than others to describe in a short talk.  The first-year talks are grouped into a one-hour seminar slot, so that typically a seminar session consists of 3 to 4 brief student talks.  </w:t>
      </w:r>
    </w:p>
    <w:p w14:paraId="5DA94572" w14:textId="77777777" w:rsidR="00D17C37" w:rsidRPr="00D17C37" w:rsidRDefault="00D17C37" w:rsidP="000967D1">
      <w:pPr>
        <w:jc w:val="both"/>
        <w:rPr>
          <w:rFonts w:asciiTheme="majorHAnsi" w:hAnsiTheme="majorHAnsi" w:cstheme="majorHAnsi"/>
          <w:color w:val="000000"/>
          <w:sz w:val="22"/>
          <w:szCs w:val="22"/>
        </w:rPr>
      </w:pPr>
    </w:p>
    <w:p w14:paraId="7D9BCBA8" w14:textId="08BB9D0B" w:rsidR="008E248A" w:rsidRPr="00D17C37" w:rsidRDefault="008E248A" w:rsidP="000967D1">
      <w:pPr>
        <w:jc w:val="both"/>
        <w:rPr>
          <w:rFonts w:asciiTheme="majorHAnsi" w:hAnsiTheme="majorHAnsi" w:cstheme="majorHAnsi"/>
          <w:color w:val="000000"/>
          <w:sz w:val="22"/>
          <w:szCs w:val="22"/>
        </w:rPr>
      </w:pPr>
      <w:r w:rsidRPr="00D17C37">
        <w:rPr>
          <w:rFonts w:asciiTheme="majorHAnsi" w:hAnsiTheme="majorHAnsi" w:cstheme="majorHAnsi"/>
          <w:color w:val="000000"/>
          <w:sz w:val="22"/>
          <w:szCs w:val="22"/>
        </w:rPr>
        <w:t xml:space="preserve">In addition, each student must present one full-length seminar </w:t>
      </w:r>
      <w:r w:rsidR="00D17C37" w:rsidRPr="00D17C37">
        <w:rPr>
          <w:rFonts w:asciiTheme="majorHAnsi" w:hAnsiTheme="majorHAnsi" w:cstheme="majorHAnsi"/>
          <w:color w:val="000000"/>
          <w:sz w:val="22"/>
          <w:szCs w:val="22"/>
        </w:rPr>
        <w:t xml:space="preserve">in our TSGP weekly seminar series </w:t>
      </w:r>
      <w:r w:rsidRPr="00D17C37">
        <w:rPr>
          <w:rFonts w:asciiTheme="majorHAnsi" w:hAnsiTheme="majorHAnsi" w:cstheme="majorHAnsi"/>
          <w:color w:val="000000"/>
          <w:sz w:val="22"/>
          <w:szCs w:val="22"/>
        </w:rPr>
        <w:t xml:space="preserve">within one year </w:t>
      </w:r>
      <w:r w:rsidR="00DC73E4" w:rsidRPr="00D17C37">
        <w:rPr>
          <w:rFonts w:asciiTheme="majorHAnsi" w:hAnsiTheme="majorHAnsi" w:cstheme="majorHAnsi"/>
          <w:color w:val="000000"/>
          <w:sz w:val="22"/>
          <w:szCs w:val="22"/>
        </w:rPr>
        <w:t xml:space="preserve">after </w:t>
      </w:r>
      <w:r w:rsidRPr="00D17C37">
        <w:rPr>
          <w:rFonts w:asciiTheme="majorHAnsi" w:hAnsiTheme="majorHAnsi" w:cstheme="majorHAnsi"/>
          <w:color w:val="000000"/>
          <w:sz w:val="22"/>
          <w:szCs w:val="22"/>
        </w:rPr>
        <w:t xml:space="preserve">passing the </w:t>
      </w:r>
      <w:r w:rsidR="00D17C37" w:rsidRPr="00D17C37">
        <w:rPr>
          <w:rFonts w:asciiTheme="majorHAnsi" w:hAnsiTheme="majorHAnsi" w:cstheme="majorHAnsi"/>
          <w:color w:val="000000"/>
          <w:sz w:val="22"/>
          <w:szCs w:val="22"/>
        </w:rPr>
        <w:t>Qualifying</w:t>
      </w:r>
      <w:r w:rsidRPr="00D17C37">
        <w:rPr>
          <w:rFonts w:asciiTheme="majorHAnsi" w:hAnsiTheme="majorHAnsi" w:cstheme="majorHAnsi"/>
          <w:color w:val="000000"/>
          <w:sz w:val="22"/>
          <w:szCs w:val="22"/>
        </w:rPr>
        <w:t xml:space="preserve"> Exam. </w:t>
      </w:r>
      <w:r w:rsidR="000967D1" w:rsidRPr="00D17C37">
        <w:rPr>
          <w:rFonts w:asciiTheme="majorHAnsi" w:hAnsiTheme="majorHAnsi" w:cstheme="majorHAnsi"/>
          <w:color w:val="000000"/>
          <w:sz w:val="22"/>
          <w:szCs w:val="22"/>
        </w:rPr>
        <w:t xml:space="preserve"> </w:t>
      </w:r>
      <w:r w:rsidRPr="00D17C37">
        <w:rPr>
          <w:rFonts w:asciiTheme="majorHAnsi" w:hAnsiTheme="majorHAnsi" w:cstheme="majorHAnsi"/>
          <w:color w:val="000000"/>
          <w:sz w:val="22"/>
          <w:szCs w:val="22"/>
        </w:rPr>
        <w:t xml:space="preserve">This </w:t>
      </w:r>
      <w:r w:rsidR="00807D4E" w:rsidRPr="00D17C37">
        <w:rPr>
          <w:rFonts w:asciiTheme="majorHAnsi" w:hAnsiTheme="majorHAnsi" w:cstheme="majorHAnsi"/>
          <w:color w:val="000000"/>
          <w:sz w:val="22"/>
          <w:szCs w:val="22"/>
        </w:rPr>
        <w:t xml:space="preserve">"3rd-year seminar" </w:t>
      </w:r>
      <w:r w:rsidRPr="00D17C37">
        <w:rPr>
          <w:rFonts w:asciiTheme="majorHAnsi" w:hAnsiTheme="majorHAnsi" w:cstheme="majorHAnsi"/>
          <w:color w:val="000000"/>
          <w:sz w:val="22"/>
          <w:szCs w:val="22"/>
        </w:rPr>
        <w:t xml:space="preserve">must be based on the student's original research, and should also review relevant background research to show familiarity with the literature. </w:t>
      </w:r>
      <w:r w:rsidR="00784429" w:rsidRPr="00D17C37">
        <w:rPr>
          <w:rFonts w:asciiTheme="majorHAnsi" w:hAnsiTheme="majorHAnsi" w:cstheme="majorHAnsi"/>
          <w:color w:val="000000"/>
          <w:sz w:val="22"/>
          <w:szCs w:val="22"/>
        </w:rPr>
        <w:t xml:space="preserve"> </w:t>
      </w:r>
      <w:r w:rsidR="00803004" w:rsidRPr="00D17C37">
        <w:rPr>
          <w:rFonts w:asciiTheme="majorHAnsi" w:hAnsiTheme="majorHAnsi" w:cstheme="majorHAnsi"/>
          <w:color w:val="000000"/>
          <w:sz w:val="22"/>
          <w:szCs w:val="22"/>
        </w:rPr>
        <w:t xml:space="preserve">Finally, a few students also present talks at our </w:t>
      </w:r>
      <w:r w:rsidR="00D17C37" w:rsidRPr="00D17C37">
        <w:rPr>
          <w:rFonts w:asciiTheme="majorHAnsi" w:hAnsiTheme="majorHAnsi" w:cstheme="majorHAnsi"/>
          <w:color w:val="000000"/>
          <w:sz w:val="22"/>
          <w:szCs w:val="22"/>
        </w:rPr>
        <w:t>TSGP A</w:t>
      </w:r>
      <w:r w:rsidR="00803004" w:rsidRPr="00D17C37">
        <w:rPr>
          <w:rFonts w:asciiTheme="majorHAnsi" w:hAnsiTheme="majorHAnsi" w:cstheme="majorHAnsi"/>
          <w:color w:val="000000"/>
          <w:sz w:val="22"/>
          <w:szCs w:val="22"/>
        </w:rPr>
        <w:t xml:space="preserve">nnual </w:t>
      </w:r>
      <w:r w:rsidR="00D17C37" w:rsidRPr="00D17C37">
        <w:rPr>
          <w:rFonts w:asciiTheme="majorHAnsi" w:hAnsiTheme="majorHAnsi" w:cstheme="majorHAnsi"/>
          <w:color w:val="000000"/>
          <w:sz w:val="22"/>
          <w:szCs w:val="22"/>
        </w:rPr>
        <w:t>R</w:t>
      </w:r>
      <w:r w:rsidR="00803004" w:rsidRPr="00D17C37">
        <w:rPr>
          <w:rFonts w:asciiTheme="majorHAnsi" w:hAnsiTheme="majorHAnsi" w:cstheme="majorHAnsi"/>
          <w:color w:val="000000"/>
          <w:sz w:val="22"/>
          <w:szCs w:val="22"/>
        </w:rPr>
        <w:t>etreat in the spring</w:t>
      </w:r>
      <w:r w:rsidR="00D17C37" w:rsidRPr="00D17C37">
        <w:rPr>
          <w:rFonts w:asciiTheme="majorHAnsi" w:hAnsiTheme="majorHAnsi" w:cstheme="majorHAnsi"/>
          <w:color w:val="000000"/>
          <w:sz w:val="22"/>
          <w:szCs w:val="22"/>
        </w:rPr>
        <w:t>, while essentially all students present posters of their work there</w:t>
      </w:r>
      <w:r w:rsidR="00803004" w:rsidRPr="00D17C37">
        <w:rPr>
          <w:rFonts w:asciiTheme="majorHAnsi" w:hAnsiTheme="majorHAnsi" w:cstheme="majorHAnsi"/>
          <w:color w:val="000000"/>
          <w:sz w:val="22"/>
          <w:szCs w:val="22"/>
        </w:rPr>
        <w:t>.</w:t>
      </w:r>
      <w:r w:rsidR="00830366" w:rsidRPr="00D17C37">
        <w:rPr>
          <w:rFonts w:asciiTheme="majorHAnsi" w:hAnsiTheme="majorHAnsi" w:cstheme="majorHAnsi"/>
          <w:color w:val="000000"/>
          <w:sz w:val="22"/>
          <w:szCs w:val="22"/>
        </w:rPr>
        <w:t xml:space="preserve">  Of course, the students also present talks and/or posters at national and international scientific conferences.</w:t>
      </w:r>
    </w:p>
    <w:p w14:paraId="1148CE75" w14:textId="77777777" w:rsidR="008A4A84" w:rsidRPr="00A63CDA" w:rsidRDefault="008A4A84" w:rsidP="008E248A">
      <w:pPr>
        <w:jc w:val="both"/>
        <w:rPr>
          <w:rFonts w:asciiTheme="majorHAnsi" w:hAnsiTheme="majorHAnsi" w:cstheme="majorHAnsi"/>
          <w:color w:val="000000"/>
          <w:sz w:val="22"/>
          <w:szCs w:val="22"/>
        </w:rPr>
      </w:pPr>
    </w:p>
    <w:p w14:paraId="574FB18A" w14:textId="6C3CE4DA" w:rsidR="008E248A" w:rsidRPr="00A63CDA" w:rsidRDefault="008E248A" w:rsidP="008E248A">
      <w:pPr>
        <w:jc w:val="both"/>
        <w:rPr>
          <w:rFonts w:asciiTheme="majorHAnsi" w:hAnsiTheme="majorHAnsi" w:cstheme="majorHAnsi"/>
          <w:color w:val="000000"/>
          <w:sz w:val="22"/>
          <w:szCs w:val="22"/>
        </w:rPr>
      </w:pPr>
      <w:r w:rsidRPr="00A63CDA">
        <w:rPr>
          <w:rFonts w:asciiTheme="majorHAnsi" w:hAnsiTheme="majorHAnsi" w:cstheme="majorHAnsi"/>
          <w:b/>
          <w:color w:val="000000"/>
          <w:sz w:val="22"/>
          <w:szCs w:val="22"/>
        </w:rPr>
        <w:t>V</w:t>
      </w:r>
      <w:r w:rsidR="00333E06" w:rsidRPr="00A63CDA">
        <w:rPr>
          <w:rFonts w:asciiTheme="majorHAnsi" w:hAnsiTheme="majorHAnsi" w:cstheme="majorHAnsi"/>
          <w:b/>
          <w:color w:val="000000"/>
          <w:sz w:val="22"/>
          <w:szCs w:val="22"/>
        </w:rPr>
        <w:t>II</w:t>
      </w:r>
      <w:r w:rsidRPr="00A63CDA">
        <w:rPr>
          <w:rFonts w:asciiTheme="majorHAnsi" w:hAnsiTheme="majorHAnsi" w:cstheme="majorHAnsi"/>
          <w:b/>
          <w:color w:val="000000"/>
          <w:sz w:val="22"/>
          <w:szCs w:val="22"/>
        </w:rPr>
        <w:t>I. Teaching</w:t>
      </w:r>
    </w:p>
    <w:p w14:paraId="275AD81F" w14:textId="77777777" w:rsidR="008E248A" w:rsidRPr="00A63CDA" w:rsidRDefault="008E248A" w:rsidP="008E248A">
      <w:pPr>
        <w:jc w:val="both"/>
        <w:rPr>
          <w:rFonts w:asciiTheme="majorHAnsi" w:hAnsiTheme="majorHAnsi" w:cstheme="majorHAnsi"/>
          <w:color w:val="000000"/>
          <w:sz w:val="22"/>
          <w:szCs w:val="22"/>
        </w:rPr>
      </w:pPr>
    </w:p>
    <w:p w14:paraId="6343315A" w14:textId="68FABDC0" w:rsidR="0055499B" w:rsidRPr="00A63CDA" w:rsidRDefault="00332F9D" w:rsidP="00382593">
      <w:pPr>
        <w:jc w:val="both"/>
        <w:rPr>
          <w:rFonts w:asciiTheme="majorHAnsi" w:hAnsiTheme="majorHAnsi" w:cstheme="majorHAnsi"/>
          <w:sz w:val="22"/>
          <w:szCs w:val="22"/>
        </w:rPr>
      </w:pPr>
      <w:r w:rsidRPr="00A63CDA">
        <w:rPr>
          <w:rFonts w:asciiTheme="majorHAnsi" w:hAnsiTheme="majorHAnsi" w:cstheme="majorHAnsi"/>
          <w:color w:val="000000"/>
          <w:sz w:val="22"/>
          <w:szCs w:val="22"/>
        </w:rPr>
        <w:t xml:space="preserve">Each </w:t>
      </w:r>
      <w:r w:rsidR="00771D86" w:rsidRPr="00A63CDA">
        <w:rPr>
          <w:rFonts w:asciiTheme="majorHAnsi" w:hAnsiTheme="majorHAnsi" w:cstheme="majorHAnsi"/>
          <w:color w:val="000000"/>
          <w:sz w:val="22"/>
          <w:szCs w:val="22"/>
        </w:rPr>
        <w:t>TSGP</w:t>
      </w:r>
      <w:r w:rsidRPr="00A63CDA">
        <w:rPr>
          <w:rFonts w:asciiTheme="majorHAnsi" w:hAnsiTheme="majorHAnsi" w:cstheme="majorHAnsi"/>
          <w:color w:val="000000"/>
          <w:sz w:val="22"/>
          <w:szCs w:val="22"/>
        </w:rPr>
        <w:t xml:space="preserve"> student is required to serve as a teaching assistant for one semester-long </w:t>
      </w:r>
      <w:r w:rsidR="003271A6" w:rsidRPr="00A63CDA">
        <w:rPr>
          <w:rFonts w:asciiTheme="majorHAnsi" w:hAnsiTheme="majorHAnsi" w:cstheme="majorHAnsi"/>
          <w:color w:val="000000"/>
          <w:sz w:val="22"/>
          <w:szCs w:val="22"/>
        </w:rPr>
        <w:t xml:space="preserve">undergraduate </w:t>
      </w:r>
      <w:r w:rsidRPr="00A63CDA">
        <w:rPr>
          <w:rFonts w:asciiTheme="majorHAnsi" w:hAnsiTheme="majorHAnsi" w:cstheme="majorHAnsi"/>
          <w:color w:val="000000"/>
          <w:sz w:val="22"/>
          <w:szCs w:val="22"/>
        </w:rPr>
        <w:t>course</w:t>
      </w:r>
      <w:r w:rsidR="003271A6" w:rsidRPr="00A63CDA">
        <w:rPr>
          <w:rFonts w:asciiTheme="majorHAnsi" w:hAnsiTheme="majorHAnsi" w:cstheme="majorHAnsi"/>
          <w:color w:val="000000"/>
          <w:sz w:val="22"/>
          <w:szCs w:val="22"/>
        </w:rPr>
        <w:t xml:space="preserve"> (typically BIOL 0800, 1260 or 1300)</w:t>
      </w:r>
      <w:r w:rsidRPr="00A63CDA">
        <w:rPr>
          <w:rFonts w:asciiTheme="majorHAnsi" w:hAnsiTheme="majorHAnsi" w:cstheme="majorHAnsi"/>
          <w:color w:val="000000"/>
          <w:sz w:val="22"/>
          <w:szCs w:val="22"/>
        </w:rPr>
        <w:t xml:space="preserve">. </w:t>
      </w:r>
      <w:r w:rsidR="00805762" w:rsidRPr="00A63CDA">
        <w:rPr>
          <w:rFonts w:asciiTheme="majorHAnsi" w:hAnsiTheme="majorHAnsi" w:cstheme="majorHAnsi"/>
          <w:color w:val="000000"/>
          <w:sz w:val="22"/>
          <w:szCs w:val="22"/>
        </w:rPr>
        <w:t xml:space="preserve"> </w:t>
      </w:r>
      <w:r w:rsidRPr="00A63CDA">
        <w:rPr>
          <w:rFonts w:asciiTheme="majorHAnsi" w:hAnsiTheme="majorHAnsi" w:cstheme="majorHAnsi"/>
          <w:color w:val="000000"/>
          <w:sz w:val="22"/>
          <w:szCs w:val="22"/>
        </w:rPr>
        <w:t xml:space="preserve">The teaching requirement may be fulfilled only by teaching in courses in </w:t>
      </w:r>
      <w:r w:rsidRPr="00A63CDA">
        <w:rPr>
          <w:rFonts w:asciiTheme="majorHAnsi" w:hAnsiTheme="majorHAnsi" w:cstheme="majorHAnsi"/>
          <w:color w:val="000000"/>
          <w:sz w:val="22"/>
          <w:szCs w:val="22"/>
        </w:rPr>
        <w:lastRenderedPageBreak/>
        <w:t xml:space="preserve">which graduate students conduct a discussion or laboratory section, or present a small number of lectures. </w:t>
      </w:r>
      <w:r w:rsidR="00805762" w:rsidRPr="00A63CDA">
        <w:rPr>
          <w:rFonts w:asciiTheme="majorHAnsi" w:hAnsiTheme="majorHAnsi" w:cstheme="majorHAnsi"/>
          <w:color w:val="000000"/>
          <w:sz w:val="22"/>
          <w:szCs w:val="22"/>
        </w:rPr>
        <w:t xml:space="preserve"> The Program Director matches the students with specific courses based on the student's strengths and interests and on instructor input.</w:t>
      </w:r>
      <w:r w:rsidR="0055499B" w:rsidRPr="00A63CDA">
        <w:rPr>
          <w:rFonts w:asciiTheme="majorHAnsi" w:hAnsiTheme="majorHAnsi" w:cstheme="majorHAnsi"/>
          <w:color w:val="000000"/>
          <w:sz w:val="22"/>
          <w:szCs w:val="22"/>
        </w:rPr>
        <w:t xml:space="preserve">  The teaching requirement is normally filled in either the fall or spring semester of the student's second year in the program.  Students are strongly encouraged to take the Sheridan Center's workshop entitled "New TA Orientation to Teaching at Brown".  This is a 3-hour hands-on workshop taught at the beginning of each semester, which </w:t>
      </w:r>
      <w:r w:rsidR="0055499B" w:rsidRPr="00A63CDA">
        <w:rPr>
          <w:rFonts w:asciiTheme="majorHAnsi" w:hAnsiTheme="majorHAnsi" w:cstheme="majorHAnsi"/>
          <w:color w:val="222222"/>
          <w:sz w:val="22"/>
          <w:szCs w:val="22"/>
          <w:shd w:val="clear" w:color="auto" w:fill="FFFFFF"/>
        </w:rPr>
        <w:t>provides the opportunity for interactive discussions of teaching roles and responsibilities with experienced TAs and faculty, and which</w:t>
      </w:r>
      <w:r w:rsidR="0097694C" w:rsidRPr="00A63CDA">
        <w:rPr>
          <w:rFonts w:asciiTheme="majorHAnsi" w:hAnsiTheme="majorHAnsi" w:cstheme="majorHAnsi"/>
          <w:color w:val="222222"/>
          <w:sz w:val="22"/>
          <w:szCs w:val="22"/>
          <w:shd w:val="clear" w:color="auto" w:fill="FFFFFF"/>
        </w:rPr>
        <w:t xml:space="preserve"> also</w:t>
      </w:r>
      <w:r w:rsidR="0055499B" w:rsidRPr="00A63CDA">
        <w:rPr>
          <w:rFonts w:asciiTheme="majorHAnsi" w:hAnsiTheme="majorHAnsi" w:cstheme="majorHAnsi"/>
          <w:color w:val="222222"/>
          <w:sz w:val="22"/>
          <w:szCs w:val="22"/>
          <w:shd w:val="clear" w:color="auto" w:fill="FFFFFF"/>
        </w:rPr>
        <w:t xml:space="preserve"> offers teaching resources.</w:t>
      </w:r>
      <w:r w:rsidR="00A77866" w:rsidRPr="00A63CDA">
        <w:rPr>
          <w:rFonts w:asciiTheme="majorHAnsi" w:hAnsiTheme="majorHAnsi" w:cstheme="majorHAnsi"/>
          <w:color w:val="222222"/>
          <w:sz w:val="22"/>
          <w:szCs w:val="22"/>
          <w:shd w:val="clear" w:color="auto" w:fill="FFFFFF"/>
        </w:rPr>
        <w:t xml:space="preserve">  A teaching assistant is expected to attend all lectures, perform whatever work is necessary to be proficient in the course material, be on time and reliable, provide office hours and review sessions as required by the faculty member directing the course, and perform grading functions as requested.  </w:t>
      </w:r>
      <w:r w:rsidR="00B31E88" w:rsidRPr="00A63CDA">
        <w:rPr>
          <w:rFonts w:asciiTheme="majorHAnsi" w:hAnsiTheme="majorHAnsi" w:cstheme="majorHAnsi"/>
          <w:color w:val="222222"/>
          <w:sz w:val="22"/>
          <w:szCs w:val="22"/>
          <w:shd w:val="clear" w:color="auto" w:fill="FFFFFF"/>
        </w:rPr>
        <w:t xml:space="preserve">Review sessions may be held weekly, as well as shortly before exams.  </w:t>
      </w:r>
      <w:r w:rsidR="00A77866" w:rsidRPr="00A63CDA">
        <w:rPr>
          <w:rFonts w:asciiTheme="majorHAnsi" w:hAnsiTheme="majorHAnsi" w:cstheme="majorHAnsi"/>
          <w:color w:val="222222"/>
          <w:sz w:val="22"/>
          <w:szCs w:val="22"/>
          <w:shd w:val="clear" w:color="auto" w:fill="FFFFFF"/>
        </w:rPr>
        <w:t xml:space="preserve">The TA is also expected to respond to emails and other </w:t>
      </w:r>
      <w:r w:rsidR="00A77866" w:rsidRPr="00A63CDA">
        <w:rPr>
          <w:rFonts w:asciiTheme="majorHAnsi" w:hAnsiTheme="majorHAnsi" w:cstheme="majorHAnsi"/>
          <w:i/>
          <w:iCs/>
          <w:color w:val="222222"/>
          <w:sz w:val="22"/>
          <w:szCs w:val="22"/>
          <w:shd w:val="clear" w:color="auto" w:fill="FFFFFF"/>
        </w:rPr>
        <w:t>ad hoc</w:t>
      </w:r>
      <w:r w:rsidR="00A77866" w:rsidRPr="00A63CDA">
        <w:rPr>
          <w:rFonts w:asciiTheme="majorHAnsi" w:hAnsiTheme="majorHAnsi" w:cstheme="majorHAnsi"/>
          <w:color w:val="222222"/>
          <w:sz w:val="22"/>
          <w:szCs w:val="22"/>
          <w:shd w:val="clear" w:color="auto" w:fill="FFFFFF"/>
        </w:rPr>
        <w:t xml:space="preserve"> communications from the students in the course as they request help with the course material; in some cases the response may just be to assure </w:t>
      </w:r>
      <w:r w:rsidR="00F74C76" w:rsidRPr="00A63CDA">
        <w:rPr>
          <w:rFonts w:asciiTheme="majorHAnsi" w:hAnsiTheme="majorHAnsi" w:cstheme="majorHAnsi"/>
          <w:color w:val="222222"/>
          <w:sz w:val="22"/>
          <w:szCs w:val="22"/>
          <w:shd w:val="clear" w:color="auto" w:fill="FFFFFF"/>
        </w:rPr>
        <w:t>the student that</w:t>
      </w:r>
      <w:r w:rsidR="00A77866" w:rsidRPr="00A63CDA">
        <w:rPr>
          <w:rFonts w:asciiTheme="majorHAnsi" w:hAnsiTheme="majorHAnsi" w:cstheme="majorHAnsi"/>
          <w:color w:val="222222"/>
          <w:sz w:val="22"/>
          <w:szCs w:val="22"/>
          <w:shd w:val="clear" w:color="auto" w:fill="FFFFFF"/>
        </w:rPr>
        <w:t xml:space="preserve"> the issues </w:t>
      </w:r>
      <w:r w:rsidR="00F74C76" w:rsidRPr="00A63CDA">
        <w:rPr>
          <w:rFonts w:asciiTheme="majorHAnsi" w:hAnsiTheme="majorHAnsi" w:cstheme="majorHAnsi"/>
          <w:color w:val="222222"/>
          <w:sz w:val="22"/>
          <w:szCs w:val="22"/>
          <w:shd w:val="clear" w:color="auto" w:fill="FFFFFF"/>
        </w:rPr>
        <w:t xml:space="preserve">will be covered </w:t>
      </w:r>
      <w:r w:rsidR="00A77866" w:rsidRPr="00A63CDA">
        <w:rPr>
          <w:rFonts w:asciiTheme="majorHAnsi" w:hAnsiTheme="majorHAnsi" w:cstheme="majorHAnsi"/>
          <w:color w:val="222222"/>
          <w:sz w:val="22"/>
          <w:szCs w:val="22"/>
          <w:shd w:val="clear" w:color="auto" w:fill="FFFFFF"/>
        </w:rPr>
        <w:t xml:space="preserve">in office hours or review sessions, rather than responding in detail to long emails.  Feedback to the TA on </w:t>
      </w:r>
      <w:r w:rsidR="00F74C76" w:rsidRPr="00A63CDA">
        <w:rPr>
          <w:rFonts w:asciiTheme="majorHAnsi" w:hAnsiTheme="majorHAnsi" w:cstheme="majorHAnsi"/>
          <w:color w:val="222222"/>
          <w:sz w:val="22"/>
          <w:szCs w:val="22"/>
          <w:shd w:val="clear" w:color="auto" w:fill="FFFFFF"/>
        </w:rPr>
        <w:t>their</w:t>
      </w:r>
      <w:r w:rsidR="00A77866" w:rsidRPr="00A63CDA">
        <w:rPr>
          <w:rFonts w:asciiTheme="majorHAnsi" w:hAnsiTheme="majorHAnsi" w:cstheme="majorHAnsi"/>
          <w:color w:val="222222"/>
          <w:sz w:val="22"/>
          <w:szCs w:val="22"/>
          <w:shd w:val="clear" w:color="auto" w:fill="FFFFFF"/>
        </w:rPr>
        <w:t xml:space="preserve"> performance will be provided personally by the faculty member directing the course, and also by the course manager in the case of BIOL 0800.  This feedback will be provided occasionally during the course, and also at the end of the course.  The faculty member will also provide feedback</w:t>
      </w:r>
      <w:r w:rsidR="00570782" w:rsidRPr="00A63CDA">
        <w:rPr>
          <w:rFonts w:asciiTheme="majorHAnsi" w:hAnsiTheme="majorHAnsi" w:cstheme="majorHAnsi"/>
          <w:color w:val="222222"/>
          <w:sz w:val="22"/>
          <w:szCs w:val="22"/>
          <w:shd w:val="clear" w:color="auto" w:fill="FFFFFF"/>
        </w:rPr>
        <w:t xml:space="preserve"> regarding the TA's performance</w:t>
      </w:r>
      <w:r w:rsidR="00A77866" w:rsidRPr="00A63CDA">
        <w:rPr>
          <w:rFonts w:asciiTheme="majorHAnsi" w:hAnsiTheme="majorHAnsi" w:cstheme="majorHAnsi"/>
          <w:color w:val="222222"/>
          <w:sz w:val="22"/>
          <w:szCs w:val="22"/>
          <w:shd w:val="clear" w:color="auto" w:fill="FFFFFF"/>
        </w:rPr>
        <w:t xml:space="preserve"> to the Program Director.</w:t>
      </w:r>
    </w:p>
    <w:p w14:paraId="0BE85F77" w14:textId="77777777" w:rsidR="00332F9D" w:rsidRPr="00A63CDA" w:rsidRDefault="00332F9D" w:rsidP="00332F9D">
      <w:pPr>
        <w:jc w:val="both"/>
        <w:rPr>
          <w:rFonts w:asciiTheme="majorHAnsi" w:hAnsiTheme="majorHAnsi" w:cstheme="majorHAnsi"/>
          <w:color w:val="000000"/>
          <w:sz w:val="22"/>
          <w:szCs w:val="22"/>
        </w:rPr>
      </w:pPr>
    </w:p>
    <w:p w14:paraId="1FC831F6" w14:textId="5B125EE6" w:rsidR="006664CC" w:rsidRPr="00A63CDA" w:rsidRDefault="00332F9D" w:rsidP="00332F9D">
      <w:pPr>
        <w:pStyle w:val="BodyText2"/>
        <w:rPr>
          <w:rFonts w:asciiTheme="majorHAnsi" w:hAnsiTheme="majorHAnsi" w:cstheme="majorHAnsi"/>
          <w:color w:val="222222"/>
          <w:sz w:val="22"/>
          <w:shd w:val="clear" w:color="auto" w:fill="FFFFFF"/>
        </w:rPr>
      </w:pPr>
      <w:r w:rsidRPr="00A63CDA">
        <w:rPr>
          <w:rFonts w:asciiTheme="majorHAnsi" w:hAnsiTheme="majorHAnsi" w:cstheme="majorHAnsi"/>
          <w:color w:val="222222"/>
          <w:sz w:val="22"/>
          <w:shd w:val="clear" w:color="auto" w:fill="FFFFFF"/>
        </w:rPr>
        <w:t xml:space="preserve">Foreign students must obtain certification from the Center for Language Studies (English for International Teaching Assistants) before they can serve as teaching assistants.  Students will have until the end of the fall semester of their second year to demonstrate proficiency in English and obtain certification from the Center for Language Studies (Brown University requirement).  Each student must be certified at level 2 or better to meet the Program requirements.  It is the responsibility of each international student to schedule an evaluation with the </w:t>
      </w:r>
      <w:r w:rsidR="00707593" w:rsidRPr="00A63CDA">
        <w:rPr>
          <w:rFonts w:asciiTheme="majorHAnsi" w:hAnsiTheme="majorHAnsi" w:cstheme="majorHAnsi"/>
          <w:color w:val="222222"/>
          <w:sz w:val="22"/>
          <w:shd w:val="clear" w:color="auto" w:fill="FFFFFF"/>
        </w:rPr>
        <w:t>Center for Language Studies</w:t>
      </w:r>
      <w:r w:rsidRPr="00A63CDA">
        <w:rPr>
          <w:rFonts w:asciiTheme="majorHAnsi" w:hAnsiTheme="majorHAnsi" w:cstheme="majorHAnsi"/>
          <w:color w:val="222222"/>
          <w:sz w:val="22"/>
          <w:shd w:val="clear" w:color="auto" w:fill="FFFFFF"/>
        </w:rPr>
        <w:t xml:space="preserve"> upon arrival at Brown and to accomplish the required proficiency within the first year of graduate studies. </w:t>
      </w:r>
      <w:r w:rsidR="00A955CA" w:rsidRPr="00A63CDA">
        <w:rPr>
          <w:rFonts w:asciiTheme="majorHAnsi" w:hAnsiTheme="majorHAnsi" w:cstheme="majorHAnsi"/>
          <w:color w:val="222222"/>
          <w:sz w:val="22"/>
          <w:shd w:val="clear" w:color="auto" w:fill="FFFFFF"/>
        </w:rPr>
        <w:t xml:space="preserve"> </w:t>
      </w:r>
      <w:r w:rsidRPr="00A63CDA">
        <w:rPr>
          <w:rFonts w:asciiTheme="majorHAnsi" w:hAnsiTheme="majorHAnsi" w:cstheme="majorHAnsi"/>
          <w:color w:val="222222"/>
          <w:sz w:val="22"/>
          <w:shd w:val="clear" w:color="auto" w:fill="FFFFFF"/>
        </w:rPr>
        <w:t xml:space="preserve">If the student’s command of spoken English does not meet this proficiency, the student must enroll in the appropriate ESL course(s) recommended by the office of English for International Teaching Assistants.  For further information, contact the coordinator for the English for International Teaching Assistants program, Center for Language Studies, Brown University.  Failing to meet the English proficiency requirement is grounds for dismissal from </w:t>
      </w:r>
      <w:r w:rsidR="006664CC" w:rsidRPr="00A63CDA">
        <w:rPr>
          <w:rFonts w:asciiTheme="majorHAnsi" w:hAnsiTheme="majorHAnsi" w:cstheme="majorHAnsi"/>
          <w:color w:val="222222"/>
          <w:sz w:val="22"/>
          <w:shd w:val="clear" w:color="auto" w:fill="FFFFFF"/>
        </w:rPr>
        <w:t>TSGP</w:t>
      </w:r>
      <w:r w:rsidRPr="00A63CDA">
        <w:rPr>
          <w:rFonts w:asciiTheme="majorHAnsi" w:hAnsiTheme="majorHAnsi" w:cstheme="majorHAnsi"/>
          <w:color w:val="222222"/>
          <w:sz w:val="22"/>
          <w:shd w:val="clear" w:color="auto" w:fill="FFFFFF"/>
        </w:rPr>
        <w:t xml:space="preserve">. </w:t>
      </w:r>
    </w:p>
    <w:p w14:paraId="47412233" w14:textId="77777777" w:rsidR="00332F9D" w:rsidRPr="00A63CDA" w:rsidRDefault="00332F9D" w:rsidP="00332F9D">
      <w:pPr>
        <w:pStyle w:val="BodyText2"/>
        <w:rPr>
          <w:rFonts w:asciiTheme="majorHAnsi" w:hAnsiTheme="majorHAnsi" w:cstheme="majorHAnsi"/>
          <w:color w:val="000000"/>
          <w:sz w:val="22"/>
        </w:rPr>
      </w:pPr>
    </w:p>
    <w:p w14:paraId="70733A5B" w14:textId="78FE16EB" w:rsidR="006664CC" w:rsidRPr="00A63CDA" w:rsidRDefault="00332F9D" w:rsidP="00332F9D">
      <w:pPr>
        <w:jc w:val="both"/>
        <w:rPr>
          <w:rFonts w:asciiTheme="majorHAnsi" w:hAnsiTheme="majorHAnsi" w:cstheme="majorHAnsi"/>
          <w:sz w:val="22"/>
          <w:szCs w:val="22"/>
        </w:rPr>
      </w:pPr>
      <w:r w:rsidRPr="00A63CDA">
        <w:rPr>
          <w:rFonts w:asciiTheme="majorHAnsi" w:hAnsiTheme="majorHAnsi" w:cstheme="majorHAnsi"/>
          <w:sz w:val="22"/>
          <w:szCs w:val="22"/>
        </w:rPr>
        <w:t>Students</w:t>
      </w:r>
      <w:r w:rsidR="00442DDF">
        <w:rPr>
          <w:rFonts w:asciiTheme="majorHAnsi" w:hAnsiTheme="majorHAnsi" w:cstheme="majorHAnsi"/>
          <w:sz w:val="22"/>
          <w:szCs w:val="22"/>
        </w:rPr>
        <w:t xml:space="preserve"> who are</w:t>
      </w:r>
      <w:r w:rsidRPr="00A63CDA">
        <w:rPr>
          <w:rFonts w:asciiTheme="majorHAnsi" w:hAnsiTheme="majorHAnsi" w:cstheme="majorHAnsi"/>
          <w:sz w:val="22"/>
          <w:szCs w:val="22"/>
        </w:rPr>
        <w:t xml:space="preserve"> </w:t>
      </w:r>
      <w:r w:rsidR="00D54001" w:rsidRPr="00A63CDA">
        <w:rPr>
          <w:rFonts w:asciiTheme="majorHAnsi" w:hAnsiTheme="majorHAnsi" w:cstheme="majorHAnsi"/>
          <w:sz w:val="22"/>
          <w:szCs w:val="22"/>
        </w:rPr>
        <w:t xml:space="preserve">interested in additional teaching experience </w:t>
      </w:r>
      <w:r w:rsidRPr="00A63CDA">
        <w:rPr>
          <w:rFonts w:asciiTheme="majorHAnsi" w:hAnsiTheme="majorHAnsi" w:cstheme="majorHAnsi"/>
          <w:sz w:val="22"/>
          <w:szCs w:val="22"/>
        </w:rPr>
        <w:t xml:space="preserve">may </w:t>
      </w:r>
      <w:r w:rsidR="00B3593E" w:rsidRPr="00A63CDA">
        <w:rPr>
          <w:rFonts w:asciiTheme="majorHAnsi" w:hAnsiTheme="majorHAnsi" w:cstheme="majorHAnsi"/>
          <w:sz w:val="22"/>
          <w:szCs w:val="22"/>
        </w:rPr>
        <w:t xml:space="preserve">attend various workshops and also </w:t>
      </w:r>
      <w:r w:rsidRPr="00A63CDA">
        <w:rPr>
          <w:rFonts w:asciiTheme="majorHAnsi" w:hAnsiTheme="majorHAnsi" w:cstheme="majorHAnsi"/>
          <w:sz w:val="22"/>
          <w:szCs w:val="22"/>
        </w:rPr>
        <w:t xml:space="preserve">obtain </w:t>
      </w:r>
      <w:r w:rsidRPr="00A63CDA">
        <w:rPr>
          <w:rFonts w:asciiTheme="majorHAnsi" w:hAnsiTheme="majorHAnsi" w:cstheme="majorHAnsi"/>
          <w:b/>
          <w:i/>
          <w:sz w:val="22"/>
          <w:szCs w:val="22"/>
        </w:rPr>
        <w:t>teaching certificates</w:t>
      </w:r>
      <w:r w:rsidRPr="00A63CDA">
        <w:rPr>
          <w:rFonts w:asciiTheme="majorHAnsi" w:hAnsiTheme="majorHAnsi" w:cstheme="majorHAnsi"/>
          <w:sz w:val="22"/>
          <w:szCs w:val="22"/>
        </w:rPr>
        <w:t xml:space="preserve"> </w:t>
      </w:r>
      <w:r w:rsidR="00B3593E" w:rsidRPr="00A63CDA">
        <w:rPr>
          <w:rFonts w:asciiTheme="majorHAnsi" w:hAnsiTheme="majorHAnsi" w:cstheme="majorHAnsi"/>
          <w:sz w:val="22"/>
          <w:szCs w:val="22"/>
        </w:rPr>
        <w:t>by completing</w:t>
      </w:r>
      <w:r w:rsidRPr="00A63CDA">
        <w:rPr>
          <w:rFonts w:asciiTheme="majorHAnsi" w:hAnsiTheme="majorHAnsi" w:cstheme="majorHAnsi"/>
          <w:sz w:val="22"/>
          <w:szCs w:val="22"/>
        </w:rPr>
        <w:t xml:space="preserve"> certificate-granting courses </w:t>
      </w:r>
      <w:r w:rsidR="00B3593E" w:rsidRPr="00A63CDA">
        <w:rPr>
          <w:rFonts w:asciiTheme="majorHAnsi" w:hAnsiTheme="majorHAnsi" w:cstheme="majorHAnsi"/>
          <w:sz w:val="22"/>
          <w:szCs w:val="22"/>
        </w:rPr>
        <w:t>provided by</w:t>
      </w:r>
      <w:r w:rsidR="00D54001" w:rsidRPr="00A63CDA">
        <w:rPr>
          <w:rFonts w:asciiTheme="majorHAnsi" w:hAnsiTheme="majorHAnsi" w:cstheme="majorHAnsi"/>
          <w:sz w:val="22"/>
          <w:szCs w:val="22"/>
        </w:rPr>
        <w:t xml:space="preserve"> the</w:t>
      </w:r>
      <w:r w:rsidRPr="00A63CDA">
        <w:rPr>
          <w:rFonts w:asciiTheme="majorHAnsi" w:hAnsiTheme="majorHAnsi" w:cstheme="majorHAnsi"/>
          <w:sz w:val="22"/>
          <w:szCs w:val="22"/>
        </w:rPr>
        <w:t xml:space="preserve"> Sheridan Center:  http://www.brown.edu/about/administration/sheridan-center/</w:t>
      </w:r>
    </w:p>
    <w:p w14:paraId="7DD30C25" w14:textId="2B22C884" w:rsidR="00332F9D" w:rsidRPr="00A63CDA" w:rsidRDefault="00FC3A58" w:rsidP="00332F9D">
      <w:pPr>
        <w:jc w:val="both"/>
        <w:rPr>
          <w:rFonts w:asciiTheme="majorHAnsi" w:hAnsiTheme="majorHAnsi" w:cstheme="majorHAnsi"/>
          <w:sz w:val="22"/>
          <w:szCs w:val="22"/>
        </w:rPr>
      </w:pPr>
      <w:r w:rsidRPr="00A63CDA">
        <w:rPr>
          <w:rFonts w:asciiTheme="majorHAnsi" w:hAnsiTheme="majorHAnsi" w:cstheme="majorHAnsi"/>
          <w:sz w:val="22"/>
          <w:szCs w:val="22"/>
        </w:rPr>
        <w:t>.</w:t>
      </w:r>
    </w:p>
    <w:p w14:paraId="2485D909" w14:textId="07F7C112" w:rsidR="00332F9D" w:rsidRPr="00A63CDA" w:rsidRDefault="00332F9D" w:rsidP="00332F9D">
      <w:pPr>
        <w:jc w:val="both"/>
        <w:rPr>
          <w:rFonts w:asciiTheme="majorHAnsi" w:hAnsiTheme="majorHAnsi" w:cstheme="majorHAnsi"/>
          <w:sz w:val="22"/>
          <w:szCs w:val="22"/>
        </w:rPr>
      </w:pPr>
      <w:r w:rsidRPr="00A63CDA">
        <w:rPr>
          <w:rFonts w:asciiTheme="majorHAnsi" w:hAnsiTheme="majorHAnsi" w:cstheme="majorHAnsi"/>
          <w:sz w:val="22"/>
          <w:szCs w:val="22"/>
        </w:rPr>
        <w:t xml:space="preserve">In addition, some </w:t>
      </w:r>
      <w:r w:rsidR="006664CC" w:rsidRPr="00A63CDA">
        <w:rPr>
          <w:rFonts w:asciiTheme="majorHAnsi" w:hAnsiTheme="majorHAnsi" w:cstheme="majorHAnsi"/>
          <w:sz w:val="22"/>
          <w:szCs w:val="22"/>
        </w:rPr>
        <w:t>TSGP</w:t>
      </w:r>
      <w:r w:rsidRPr="00A63CDA">
        <w:rPr>
          <w:rFonts w:asciiTheme="majorHAnsi" w:hAnsiTheme="majorHAnsi" w:cstheme="majorHAnsi"/>
          <w:sz w:val="22"/>
          <w:szCs w:val="22"/>
        </w:rPr>
        <w:t xml:space="preserve"> students design and </w:t>
      </w:r>
      <w:r w:rsidR="006664CC" w:rsidRPr="00A63CDA">
        <w:rPr>
          <w:rFonts w:asciiTheme="majorHAnsi" w:hAnsiTheme="majorHAnsi" w:cstheme="majorHAnsi"/>
          <w:sz w:val="22"/>
          <w:szCs w:val="22"/>
        </w:rPr>
        <w:t>teach</w:t>
      </w:r>
      <w:r w:rsidRPr="00A63CDA">
        <w:rPr>
          <w:rFonts w:asciiTheme="majorHAnsi" w:hAnsiTheme="majorHAnsi" w:cstheme="majorHAnsi"/>
          <w:sz w:val="22"/>
          <w:szCs w:val="22"/>
        </w:rPr>
        <w:t xml:space="preserve"> summer courses for high school students at Brown, either alone or jointly with other graduate students.</w:t>
      </w:r>
      <w:r w:rsidR="002504DA" w:rsidRPr="00A63CDA">
        <w:rPr>
          <w:rFonts w:asciiTheme="majorHAnsi" w:hAnsiTheme="majorHAnsi" w:cstheme="majorHAnsi"/>
          <w:sz w:val="22"/>
          <w:szCs w:val="22"/>
        </w:rPr>
        <w:t xml:space="preserve">  These </w:t>
      </w:r>
      <w:proofErr w:type="spellStart"/>
      <w:r w:rsidR="002504DA" w:rsidRPr="00A63CDA">
        <w:rPr>
          <w:rFonts w:asciiTheme="majorHAnsi" w:hAnsiTheme="majorHAnsi" w:cstheme="majorHAnsi"/>
          <w:sz w:val="22"/>
          <w:szCs w:val="22"/>
        </w:rPr>
        <w:t>Summer@Brown</w:t>
      </w:r>
      <w:proofErr w:type="spellEnd"/>
      <w:r w:rsidR="002504DA" w:rsidRPr="00A63CDA">
        <w:rPr>
          <w:rFonts w:asciiTheme="majorHAnsi" w:hAnsiTheme="majorHAnsi" w:cstheme="majorHAnsi"/>
          <w:sz w:val="22"/>
          <w:szCs w:val="22"/>
        </w:rPr>
        <w:t xml:space="preserve"> teaching opportunities are available through the School of Professional Studies.</w:t>
      </w:r>
      <w:r w:rsidR="0083318E" w:rsidRPr="00A63CDA">
        <w:rPr>
          <w:rFonts w:asciiTheme="majorHAnsi" w:hAnsiTheme="majorHAnsi" w:cstheme="majorHAnsi"/>
          <w:sz w:val="22"/>
          <w:szCs w:val="22"/>
        </w:rPr>
        <w:t xml:space="preserve">  This activity is not recommended for beginning students, who need to focus on establishing themselves in a thesis lab and passing their Qualifying Exam.</w:t>
      </w:r>
    </w:p>
    <w:p w14:paraId="3DE3EFD5" w14:textId="77777777" w:rsidR="00332F9D" w:rsidRPr="00A63CDA" w:rsidRDefault="00332F9D" w:rsidP="00332F9D">
      <w:pPr>
        <w:jc w:val="both"/>
        <w:rPr>
          <w:rFonts w:asciiTheme="majorHAnsi" w:hAnsiTheme="majorHAnsi" w:cstheme="majorHAnsi"/>
          <w:sz w:val="22"/>
          <w:szCs w:val="22"/>
        </w:rPr>
      </w:pPr>
    </w:p>
    <w:p w14:paraId="42E9D951" w14:textId="76C23542" w:rsidR="00E93B82" w:rsidRDefault="00332F9D" w:rsidP="008E248A">
      <w:pPr>
        <w:jc w:val="both"/>
        <w:rPr>
          <w:rFonts w:asciiTheme="majorHAnsi" w:hAnsiTheme="majorHAnsi" w:cstheme="majorHAnsi"/>
          <w:sz w:val="22"/>
          <w:szCs w:val="22"/>
        </w:rPr>
      </w:pPr>
      <w:r w:rsidRPr="00A63CDA">
        <w:rPr>
          <w:rFonts w:asciiTheme="majorHAnsi" w:hAnsiTheme="majorHAnsi" w:cstheme="majorHAnsi"/>
          <w:sz w:val="22"/>
          <w:szCs w:val="22"/>
        </w:rPr>
        <w:t xml:space="preserve">The unique structure of the Division of Biology and Medicine at Brown means that all basic science departments are responsible for a large part of undergraduate Biology teaching, and most of the labs within the Division attract outstanding undergraduate student researchers.  Therefore, nearly every graduate student in the program interacts with, or formally mentors, at least one </w:t>
      </w:r>
      <w:r w:rsidRPr="00A63CDA">
        <w:rPr>
          <w:rFonts w:asciiTheme="majorHAnsi" w:hAnsiTheme="majorHAnsi" w:cstheme="majorHAnsi"/>
          <w:b/>
          <w:i/>
          <w:sz w:val="22"/>
          <w:szCs w:val="22"/>
        </w:rPr>
        <w:t>undergraduate student in the lab,</w:t>
      </w:r>
      <w:r w:rsidRPr="00A63CDA">
        <w:rPr>
          <w:rFonts w:asciiTheme="majorHAnsi" w:hAnsiTheme="majorHAnsi" w:cstheme="majorHAnsi"/>
          <w:sz w:val="22"/>
          <w:szCs w:val="22"/>
        </w:rPr>
        <w:t xml:space="preserve"> in addition to his or her teaching assistantship responsibilities.  This opportunity provides invaluable hands-on experience with day-to-day teaching in the lab.</w:t>
      </w:r>
    </w:p>
    <w:p w14:paraId="13821260" w14:textId="0007A7D9" w:rsidR="008A4A84" w:rsidRDefault="008A4A84" w:rsidP="008E248A">
      <w:pPr>
        <w:jc w:val="both"/>
        <w:rPr>
          <w:rFonts w:asciiTheme="majorHAnsi" w:hAnsiTheme="majorHAnsi" w:cstheme="majorHAnsi"/>
          <w:sz w:val="22"/>
          <w:szCs w:val="22"/>
        </w:rPr>
      </w:pPr>
    </w:p>
    <w:p w14:paraId="40BEE16F" w14:textId="75DB429A" w:rsidR="008A4A84" w:rsidRDefault="008A4A84" w:rsidP="008E248A">
      <w:pPr>
        <w:jc w:val="both"/>
        <w:rPr>
          <w:rFonts w:asciiTheme="majorHAnsi" w:hAnsiTheme="majorHAnsi" w:cstheme="majorHAnsi"/>
          <w:sz w:val="22"/>
          <w:szCs w:val="22"/>
        </w:rPr>
      </w:pPr>
    </w:p>
    <w:p w14:paraId="77970F45" w14:textId="77777777" w:rsidR="008A4A84" w:rsidRPr="008A4A84" w:rsidRDefault="008A4A84" w:rsidP="008E248A">
      <w:pPr>
        <w:jc w:val="both"/>
        <w:rPr>
          <w:rFonts w:asciiTheme="majorHAnsi" w:hAnsiTheme="majorHAnsi" w:cstheme="majorHAnsi"/>
          <w:sz w:val="22"/>
          <w:szCs w:val="22"/>
        </w:rPr>
      </w:pPr>
    </w:p>
    <w:p w14:paraId="3F528353" w14:textId="526264A9" w:rsidR="00E93B82" w:rsidRPr="00442DDF" w:rsidRDefault="00333E06" w:rsidP="00442DDF">
      <w:pPr>
        <w:ind w:right="6336"/>
        <w:jc w:val="both"/>
        <w:rPr>
          <w:rFonts w:asciiTheme="majorHAnsi" w:hAnsiTheme="majorHAnsi" w:cstheme="majorHAnsi"/>
          <w:color w:val="000000"/>
          <w:sz w:val="22"/>
          <w:szCs w:val="22"/>
        </w:rPr>
      </w:pPr>
      <w:r w:rsidRPr="00442DDF">
        <w:rPr>
          <w:rFonts w:asciiTheme="majorHAnsi" w:hAnsiTheme="majorHAnsi" w:cstheme="majorHAnsi"/>
          <w:b/>
          <w:color w:val="000000"/>
          <w:sz w:val="22"/>
          <w:szCs w:val="22"/>
        </w:rPr>
        <w:lastRenderedPageBreak/>
        <w:t>I</w:t>
      </w:r>
      <w:r w:rsidR="008E248A" w:rsidRPr="00442DDF">
        <w:rPr>
          <w:rFonts w:asciiTheme="majorHAnsi" w:hAnsiTheme="majorHAnsi" w:cstheme="majorHAnsi"/>
          <w:b/>
          <w:color w:val="000000"/>
          <w:sz w:val="22"/>
          <w:szCs w:val="22"/>
        </w:rPr>
        <w:t>X. Financial Support</w:t>
      </w:r>
    </w:p>
    <w:p w14:paraId="2042D783" w14:textId="77777777" w:rsidR="00E93B82" w:rsidRPr="00442DDF" w:rsidRDefault="00E93B82" w:rsidP="00442DDF">
      <w:pPr>
        <w:ind w:right="6336"/>
        <w:jc w:val="both"/>
        <w:rPr>
          <w:rFonts w:asciiTheme="majorHAnsi" w:hAnsiTheme="majorHAnsi" w:cstheme="majorHAnsi"/>
          <w:color w:val="000000"/>
          <w:sz w:val="22"/>
          <w:szCs w:val="22"/>
        </w:rPr>
      </w:pPr>
    </w:p>
    <w:p w14:paraId="3A2A8913" w14:textId="056217A3" w:rsidR="004F5951" w:rsidRPr="00442DDF" w:rsidRDefault="003123E2" w:rsidP="00F332F1">
      <w:pPr>
        <w:jc w:val="both"/>
        <w:rPr>
          <w:rFonts w:asciiTheme="majorHAnsi" w:hAnsiTheme="majorHAnsi" w:cstheme="majorHAnsi"/>
          <w:sz w:val="22"/>
          <w:szCs w:val="22"/>
        </w:rPr>
      </w:pPr>
      <w:r w:rsidRPr="00442DDF">
        <w:rPr>
          <w:rFonts w:asciiTheme="majorHAnsi" w:hAnsiTheme="majorHAnsi" w:cstheme="majorHAnsi"/>
          <w:sz w:val="22"/>
          <w:szCs w:val="22"/>
        </w:rPr>
        <w:t>All</w:t>
      </w:r>
      <w:r w:rsidRPr="00442DDF">
        <w:rPr>
          <w:rFonts w:asciiTheme="majorHAnsi" w:hAnsiTheme="majorHAnsi" w:cstheme="majorHAnsi"/>
          <w:b/>
          <w:sz w:val="22"/>
          <w:szCs w:val="22"/>
        </w:rPr>
        <w:t xml:space="preserve"> </w:t>
      </w:r>
      <w:r w:rsidRPr="00442DDF">
        <w:rPr>
          <w:rFonts w:asciiTheme="majorHAnsi" w:hAnsiTheme="majorHAnsi" w:cstheme="majorHAnsi"/>
          <w:sz w:val="22"/>
          <w:szCs w:val="22"/>
        </w:rPr>
        <w:t xml:space="preserve">students offered admission into the Division of Biology and Medicine graduate programs are guaranteed five years of financial support including stipend, health insurance, and tuition and fees, contingent on making satisfactory progress toward the </w:t>
      </w:r>
      <w:r w:rsidR="00FD7A5A" w:rsidRPr="00442DDF">
        <w:rPr>
          <w:rFonts w:asciiTheme="majorHAnsi" w:hAnsiTheme="majorHAnsi" w:cstheme="majorHAnsi"/>
          <w:sz w:val="22"/>
          <w:szCs w:val="22"/>
        </w:rPr>
        <w:t>PhD</w:t>
      </w:r>
      <w:r w:rsidR="00333E06" w:rsidRPr="00442DDF">
        <w:rPr>
          <w:rFonts w:asciiTheme="majorHAnsi" w:hAnsiTheme="majorHAnsi" w:cstheme="majorHAnsi"/>
          <w:sz w:val="22"/>
          <w:szCs w:val="22"/>
        </w:rPr>
        <w:t xml:space="preserve"> </w:t>
      </w:r>
      <w:r w:rsidRPr="00442DDF">
        <w:rPr>
          <w:rFonts w:asciiTheme="majorHAnsi" w:hAnsiTheme="majorHAnsi" w:cstheme="majorHAnsi"/>
          <w:sz w:val="22"/>
          <w:szCs w:val="22"/>
        </w:rPr>
        <w:t xml:space="preserve">degree.  This support comes from a combination of resources including teaching assistantships, Division fellowships, predoctoral training grants, research grants, and individual fellowships awarded both extramurally and/or through Brown.  </w:t>
      </w:r>
      <w:r w:rsidR="00442DDF" w:rsidRPr="00442DDF">
        <w:rPr>
          <w:rFonts w:asciiTheme="majorHAnsi" w:hAnsiTheme="majorHAnsi" w:cstheme="majorHAnsi"/>
          <w:sz w:val="22"/>
          <w:szCs w:val="22"/>
        </w:rPr>
        <w:t>In addition, TSGP provides each first-year student with a special stipend of $1,</w:t>
      </w:r>
      <w:r w:rsidR="00F639D9">
        <w:rPr>
          <w:rFonts w:asciiTheme="majorHAnsi" w:hAnsiTheme="majorHAnsi" w:cstheme="majorHAnsi"/>
          <w:sz w:val="22"/>
          <w:szCs w:val="22"/>
        </w:rPr>
        <w:t>5</w:t>
      </w:r>
      <w:r w:rsidR="00442DDF" w:rsidRPr="00442DDF">
        <w:rPr>
          <w:rFonts w:asciiTheme="majorHAnsi" w:hAnsiTheme="majorHAnsi" w:cstheme="majorHAnsi"/>
          <w:sz w:val="22"/>
          <w:szCs w:val="22"/>
        </w:rPr>
        <w:t>00 to use towards a new computer and computer-related software or hardware or for other items needed for graduate school, and the Division of Biology &amp; Medicine provides a transitional stipend of $1,200 to aid in relocation expenses in September of the first year.  Furthermore, each student who obtains a competitive extramural individual fellowship (e.g., from NSF, NIH, Ford, etc.) is awarded an extra $</w:t>
      </w:r>
      <w:r w:rsidR="00FE7D3B">
        <w:rPr>
          <w:rFonts w:asciiTheme="majorHAnsi" w:hAnsiTheme="majorHAnsi" w:cstheme="majorHAnsi"/>
          <w:sz w:val="22"/>
          <w:szCs w:val="22"/>
        </w:rPr>
        <w:t>3,000</w:t>
      </w:r>
      <w:r w:rsidR="00442DDF" w:rsidRPr="00442DDF">
        <w:rPr>
          <w:rFonts w:asciiTheme="majorHAnsi" w:hAnsiTheme="majorHAnsi" w:cstheme="majorHAnsi"/>
          <w:sz w:val="22"/>
          <w:szCs w:val="22"/>
        </w:rPr>
        <w:t xml:space="preserve"> per year in Divisional stipend support as a reward for obtaining the external funding.  In addition, the Division supports $650 per year to cover travel expenses for scientific meetings beginning in a student’s second year (applications due a month before the conference), and TSGP supports an additional $500 per year in travel support for any student who is presenting their work in a poster or talk at a scientific conference (regardless of their year in the program).  The Graduate School also provides up to $1,000 per year for students presenting at international conferences.  The Graduate Program Director and Graduate Program Coordinator can provide more detailed procedural information.</w:t>
      </w:r>
    </w:p>
    <w:p w14:paraId="3B09BB49" w14:textId="77777777" w:rsidR="00E97C86" w:rsidRPr="00F332F1" w:rsidRDefault="00E97C86" w:rsidP="00A32EFC">
      <w:pPr>
        <w:jc w:val="both"/>
        <w:rPr>
          <w:rFonts w:asciiTheme="majorHAnsi" w:hAnsiTheme="majorHAnsi" w:cstheme="majorHAnsi"/>
          <w:sz w:val="22"/>
          <w:szCs w:val="22"/>
        </w:rPr>
      </w:pPr>
    </w:p>
    <w:p w14:paraId="7F62BEAD" w14:textId="77777777" w:rsidR="00E97C86" w:rsidRPr="00F332F1" w:rsidRDefault="00E97C86" w:rsidP="00A32EFC">
      <w:pPr>
        <w:jc w:val="both"/>
        <w:rPr>
          <w:rFonts w:asciiTheme="majorHAnsi" w:hAnsiTheme="majorHAnsi" w:cstheme="majorHAnsi"/>
          <w:sz w:val="22"/>
          <w:szCs w:val="22"/>
        </w:rPr>
      </w:pPr>
    </w:p>
    <w:p w14:paraId="772014F5" w14:textId="4B2F7219" w:rsidR="008E248A" w:rsidRPr="00F332F1" w:rsidRDefault="008E248A" w:rsidP="008E248A">
      <w:pPr>
        <w:ind w:right="6048"/>
        <w:jc w:val="both"/>
        <w:rPr>
          <w:rFonts w:asciiTheme="majorHAnsi" w:hAnsiTheme="majorHAnsi" w:cstheme="majorHAnsi"/>
          <w:color w:val="000000"/>
          <w:sz w:val="22"/>
          <w:szCs w:val="22"/>
        </w:rPr>
      </w:pPr>
      <w:r w:rsidRPr="00F332F1">
        <w:rPr>
          <w:rFonts w:asciiTheme="majorHAnsi" w:hAnsiTheme="majorHAnsi" w:cstheme="majorHAnsi"/>
          <w:b/>
          <w:color w:val="000000"/>
          <w:sz w:val="22"/>
          <w:szCs w:val="22"/>
        </w:rPr>
        <w:t xml:space="preserve">X. </w:t>
      </w:r>
      <w:r w:rsidR="00FD7A5A" w:rsidRPr="00F332F1">
        <w:rPr>
          <w:rFonts w:asciiTheme="majorHAnsi" w:hAnsiTheme="majorHAnsi" w:cstheme="majorHAnsi"/>
          <w:b/>
          <w:color w:val="000000"/>
          <w:sz w:val="22"/>
          <w:szCs w:val="22"/>
        </w:rPr>
        <w:t>MD</w:t>
      </w:r>
      <w:r w:rsidRPr="00F332F1">
        <w:rPr>
          <w:rFonts w:asciiTheme="majorHAnsi" w:hAnsiTheme="majorHAnsi" w:cstheme="majorHAnsi"/>
          <w:b/>
          <w:color w:val="000000"/>
          <w:sz w:val="22"/>
          <w:szCs w:val="22"/>
        </w:rPr>
        <w:t>/</w:t>
      </w:r>
      <w:r w:rsidR="00FD7A5A" w:rsidRPr="00F332F1">
        <w:rPr>
          <w:rFonts w:asciiTheme="majorHAnsi" w:hAnsiTheme="majorHAnsi" w:cstheme="majorHAnsi"/>
          <w:b/>
          <w:color w:val="000000"/>
          <w:sz w:val="22"/>
          <w:szCs w:val="22"/>
        </w:rPr>
        <w:t>PhD</w:t>
      </w:r>
      <w:r w:rsidRPr="00F332F1">
        <w:rPr>
          <w:rFonts w:asciiTheme="majorHAnsi" w:hAnsiTheme="majorHAnsi" w:cstheme="majorHAnsi"/>
          <w:b/>
          <w:color w:val="000000"/>
          <w:sz w:val="22"/>
          <w:szCs w:val="22"/>
        </w:rPr>
        <w:t xml:space="preserve"> Degree</w:t>
      </w:r>
    </w:p>
    <w:p w14:paraId="24D0F0A5" w14:textId="77777777" w:rsidR="008E248A" w:rsidRPr="00F332F1" w:rsidRDefault="008E248A" w:rsidP="008E248A">
      <w:pPr>
        <w:ind w:right="6048"/>
        <w:jc w:val="both"/>
        <w:rPr>
          <w:rFonts w:asciiTheme="majorHAnsi" w:hAnsiTheme="majorHAnsi" w:cstheme="majorHAnsi"/>
          <w:color w:val="000000"/>
          <w:sz w:val="22"/>
          <w:szCs w:val="22"/>
        </w:rPr>
      </w:pPr>
    </w:p>
    <w:p w14:paraId="7EACA44F" w14:textId="658B9CA6" w:rsidR="008E248A" w:rsidRPr="00F332F1" w:rsidRDefault="008E248A" w:rsidP="008E248A">
      <w:pPr>
        <w:tabs>
          <w:tab w:val="left" w:pos="10080"/>
        </w:tabs>
        <w:jc w:val="both"/>
        <w:rPr>
          <w:rFonts w:asciiTheme="majorHAnsi" w:hAnsiTheme="majorHAnsi" w:cstheme="majorHAnsi"/>
          <w:color w:val="000000"/>
          <w:sz w:val="22"/>
          <w:szCs w:val="22"/>
        </w:rPr>
      </w:pPr>
      <w:r w:rsidRPr="00F332F1">
        <w:rPr>
          <w:rFonts w:asciiTheme="majorHAnsi" w:hAnsiTheme="majorHAnsi" w:cstheme="majorHAnsi"/>
          <w:color w:val="000000"/>
          <w:sz w:val="22"/>
          <w:szCs w:val="22"/>
        </w:rPr>
        <w:t xml:space="preserve">Students in Brown's </w:t>
      </w:r>
      <w:r w:rsidR="00FD7A5A" w:rsidRPr="00F332F1">
        <w:rPr>
          <w:rFonts w:asciiTheme="majorHAnsi" w:hAnsiTheme="majorHAnsi" w:cstheme="majorHAnsi"/>
          <w:color w:val="000000"/>
          <w:sz w:val="22"/>
          <w:szCs w:val="22"/>
        </w:rPr>
        <w:t>MD</w:t>
      </w:r>
      <w:r w:rsidRPr="00F332F1">
        <w:rPr>
          <w:rFonts w:asciiTheme="majorHAnsi" w:hAnsiTheme="majorHAnsi" w:cstheme="majorHAnsi"/>
          <w:color w:val="000000"/>
          <w:sz w:val="22"/>
          <w:szCs w:val="22"/>
        </w:rPr>
        <w:t>/</w:t>
      </w:r>
      <w:r w:rsidR="00FD7A5A" w:rsidRPr="00F332F1">
        <w:rPr>
          <w:rFonts w:asciiTheme="majorHAnsi" w:hAnsiTheme="majorHAnsi" w:cstheme="majorHAnsi"/>
          <w:color w:val="000000"/>
          <w:sz w:val="22"/>
          <w:szCs w:val="22"/>
        </w:rPr>
        <w:t>PhD</w:t>
      </w:r>
      <w:r w:rsidRPr="00F332F1">
        <w:rPr>
          <w:rFonts w:asciiTheme="majorHAnsi" w:hAnsiTheme="majorHAnsi" w:cstheme="majorHAnsi"/>
          <w:color w:val="000000"/>
          <w:sz w:val="22"/>
          <w:szCs w:val="22"/>
        </w:rPr>
        <w:t xml:space="preserve"> Program may participate in the </w:t>
      </w:r>
      <w:r w:rsidR="001E4F3B" w:rsidRPr="00F332F1">
        <w:rPr>
          <w:rFonts w:asciiTheme="majorHAnsi" w:hAnsiTheme="majorHAnsi" w:cstheme="majorHAnsi"/>
          <w:color w:val="000000"/>
          <w:sz w:val="22"/>
          <w:szCs w:val="22"/>
        </w:rPr>
        <w:t>Therapeutic Sciences</w:t>
      </w:r>
      <w:r w:rsidRPr="00F332F1">
        <w:rPr>
          <w:rFonts w:asciiTheme="majorHAnsi" w:hAnsiTheme="majorHAnsi" w:cstheme="majorHAnsi"/>
          <w:color w:val="000000"/>
          <w:sz w:val="22"/>
          <w:szCs w:val="22"/>
        </w:rPr>
        <w:t xml:space="preserve"> Graduate Program.  These students must complete all the </w:t>
      </w:r>
      <w:r w:rsidR="001E4F3B" w:rsidRPr="00F332F1">
        <w:rPr>
          <w:rFonts w:asciiTheme="majorHAnsi" w:hAnsiTheme="majorHAnsi" w:cstheme="majorHAnsi"/>
          <w:color w:val="000000"/>
          <w:sz w:val="22"/>
          <w:szCs w:val="22"/>
        </w:rPr>
        <w:t>TSGP</w:t>
      </w:r>
      <w:r w:rsidRPr="00F332F1">
        <w:rPr>
          <w:rFonts w:asciiTheme="majorHAnsi" w:hAnsiTheme="majorHAnsi" w:cstheme="majorHAnsi"/>
          <w:color w:val="000000"/>
          <w:sz w:val="22"/>
          <w:szCs w:val="22"/>
        </w:rPr>
        <w:t xml:space="preserve"> requirements specified for the </w:t>
      </w:r>
      <w:r w:rsidR="00FD7A5A" w:rsidRPr="00F332F1">
        <w:rPr>
          <w:rFonts w:asciiTheme="majorHAnsi" w:hAnsiTheme="majorHAnsi" w:cstheme="majorHAnsi"/>
          <w:color w:val="000000"/>
          <w:sz w:val="22"/>
          <w:szCs w:val="22"/>
        </w:rPr>
        <w:t>PhD</w:t>
      </w:r>
      <w:r w:rsidRPr="00F332F1">
        <w:rPr>
          <w:rFonts w:asciiTheme="majorHAnsi" w:hAnsiTheme="majorHAnsi" w:cstheme="majorHAnsi"/>
          <w:color w:val="000000"/>
          <w:sz w:val="22"/>
          <w:szCs w:val="22"/>
        </w:rPr>
        <w:t xml:space="preserve"> degree, except that they are not required to serve as teaching assistants, and may receive course credit for the first 2 years of medical school, </w:t>
      </w:r>
      <w:r w:rsidR="009B32D3" w:rsidRPr="00F332F1">
        <w:rPr>
          <w:rFonts w:asciiTheme="majorHAnsi" w:hAnsiTheme="majorHAnsi" w:cstheme="majorHAnsi"/>
          <w:color w:val="000000"/>
          <w:sz w:val="22"/>
          <w:szCs w:val="22"/>
        </w:rPr>
        <w:t xml:space="preserve">in lieu of </w:t>
      </w:r>
      <w:r w:rsidRPr="00F332F1">
        <w:rPr>
          <w:rFonts w:asciiTheme="majorHAnsi" w:hAnsiTheme="majorHAnsi" w:cstheme="majorHAnsi"/>
          <w:color w:val="000000"/>
          <w:sz w:val="22"/>
          <w:szCs w:val="22"/>
        </w:rPr>
        <w:t xml:space="preserve">our </w:t>
      </w:r>
      <w:r w:rsidR="009B32D3" w:rsidRPr="00F332F1">
        <w:rPr>
          <w:rFonts w:asciiTheme="majorHAnsi" w:hAnsiTheme="majorHAnsi" w:cstheme="majorHAnsi"/>
          <w:color w:val="000000"/>
          <w:sz w:val="22"/>
          <w:szCs w:val="22"/>
        </w:rPr>
        <w:t xml:space="preserve">required didactic </w:t>
      </w:r>
      <w:r w:rsidRPr="00F332F1">
        <w:rPr>
          <w:rFonts w:asciiTheme="majorHAnsi" w:hAnsiTheme="majorHAnsi" w:cstheme="majorHAnsi"/>
          <w:color w:val="000000"/>
          <w:sz w:val="22"/>
          <w:szCs w:val="22"/>
        </w:rPr>
        <w:t xml:space="preserve">courses.  </w:t>
      </w:r>
      <w:r w:rsidR="00FD7A5A" w:rsidRPr="00F332F1">
        <w:rPr>
          <w:rFonts w:asciiTheme="majorHAnsi" w:hAnsiTheme="majorHAnsi" w:cstheme="majorHAnsi"/>
          <w:color w:val="000000"/>
          <w:sz w:val="22"/>
          <w:szCs w:val="22"/>
        </w:rPr>
        <w:t>MD</w:t>
      </w:r>
      <w:r w:rsidR="00FC374C" w:rsidRPr="00F332F1">
        <w:rPr>
          <w:rFonts w:asciiTheme="majorHAnsi" w:hAnsiTheme="majorHAnsi" w:cstheme="majorHAnsi"/>
          <w:color w:val="000000"/>
          <w:sz w:val="22"/>
          <w:szCs w:val="22"/>
        </w:rPr>
        <w:t>/</w:t>
      </w:r>
      <w:r w:rsidR="00FD7A5A" w:rsidRPr="00F332F1">
        <w:rPr>
          <w:rFonts w:asciiTheme="majorHAnsi" w:hAnsiTheme="majorHAnsi" w:cstheme="majorHAnsi"/>
          <w:color w:val="000000"/>
          <w:sz w:val="22"/>
          <w:szCs w:val="22"/>
        </w:rPr>
        <w:t>PhD</w:t>
      </w:r>
      <w:r w:rsidR="00FC374C" w:rsidRPr="00F332F1">
        <w:rPr>
          <w:rFonts w:asciiTheme="majorHAnsi" w:hAnsiTheme="majorHAnsi" w:cstheme="majorHAnsi"/>
          <w:color w:val="000000"/>
          <w:sz w:val="22"/>
          <w:szCs w:val="22"/>
        </w:rPr>
        <w:t xml:space="preserve"> candidates may complete their research lab rotations in the summers preceding their first year in </w:t>
      </w:r>
      <w:r w:rsidR="001E4F3B" w:rsidRPr="00F332F1">
        <w:rPr>
          <w:rFonts w:asciiTheme="majorHAnsi" w:hAnsiTheme="majorHAnsi" w:cstheme="majorHAnsi"/>
          <w:color w:val="000000"/>
          <w:sz w:val="22"/>
          <w:szCs w:val="22"/>
        </w:rPr>
        <w:t>TSGP</w:t>
      </w:r>
      <w:r w:rsidR="00FC374C" w:rsidRPr="00F332F1">
        <w:rPr>
          <w:rFonts w:asciiTheme="majorHAnsi" w:hAnsiTheme="majorHAnsi" w:cstheme="majorHAnsi"/>
          <w:color w:val="000000"/>
          <w:sz w:val="22"/>
          <w:szCs w:val="22"/>
        </w:rPr>
        <w:t>.</w:t>
      </w:r>
    </w:p>
    <w:p w14:paraId="402857A5" w14:textId="77777777" w:rsidR="008E248A" w:rsidRPr="00F332F1" w:rsidRDefault="008E248A" w:rsidP="008E248A">
      <w:pPr>
        <w:jc w:val="both"/>
        <w:rPr>
          <w:rFonts w:asciiTheme="majorHAnsi" w:hAnsiTheme="majorHAnsi" w:cstheme="majorHAnsi"/>
          <w:color w:val="000000"/>
          <w:sz w:val="22"/>
          <w:szCs w:val="22"/>
        </w:rPr>
      </w:pPr>
    </w:p>
    <w:p w14:paraId="77FA3CF2" w14:textId="77777777" w:rsidR="00CD202B" w:rsidRPr="00F332F1" w:rsidRDefault="00CD202B" w:rsidP="008E248A">
      <w:pPr>
        <w:jc w:val="both"/>
        <w:rPr>
          <w:rFonts w:asciiTheme="majorHAnsi" w:hAnsiTheme="majorHAnsi" w:cstheme="majorHAnsi"/>
          <w:color w:val="000000"/>
          <w:sz w:val="22"/>
          <w:szCs w:val="22"/>
        </w:rPr>
      </w:pPr>
    </w:p>
    <w:p w14:paraId="66B732F9" w14:textId="7639034B" w:rsidR="008E248A" w:rsidRPr="00F332F1" w:rsidRDefault="008E248A" w:rsidP="00C66EBD">
      <w:pPr>
        <w:ind w:right="6048"/>
        <w:jc w:val="both"/>
        <w:rPr>
          <w:rFonts w:asciiTheme="majorHAnsi" w:hAnsiTheme="majorHAnsi" w:cstheme="majorHAnsi"/>
          <w:b/>
          <w:color w:val="000000"/>
          <w:sz w:val="22"/>
          <w:szCs w:val="22"/>
        </w:rPr>
      </w:pPr>
      <w:r w:rsidRPr="00F332F1">
        <w:rPr>
          <w:rFonts w:asciiTheme="majorHAnsi" w:hAnsiTheme="majorHAnsi" w:cstheme="majorHAnsi"/>
          <w:b/>
          <w:color w:val="000000"/>
          <w:sz w:val="22"/>
          <w:szCs w:val="22"/>
        </w:rPr>
        <w:t>XI. Leave of Absence</w:t>
      </w:r>
    </w:p>
    <w:p w14:paraId="1D2B7917" w14:textId="77777777" w:rsidR="008E248A" w:rsidRPr="00F332F1" w:rsidRDefault="008E248A" w:rsidP="008E248A">
      <w:pPr>
        <w:pStyle w:val="BodyText"/>
        <w:spacing w:line="240" w:lineRule="auto"/>
        <w:jc w:val="both"/>
        <w:rPr>
          <w:rFonts w:asciiTheme="majorHAnsi" w:hAnsiTheme="majorHAnsi" w:cstheme="majorHAnsi"/>
          <w:b/>
          <w:color w:val="000000"/>
          <w:sz w:val="22"/>
          <w:u w:val="single"/>
        </w:rPr>
      </w:pPr>
    </w:p>
    <w:p w14:paraId="0487453F" w14:textId="1EFF5643" w:rsidR="00A22849" w:rsidRPr="00F332F1" w:rsidRDefault="008E248A" w:rsidP="00C66EBD">
      <w:pPr>
        <w:pStyle w:val="BodyText"/>
        <w:spacing w:line="240" w:lineRule="auto"/>
        <w:jc w:val="both"/>
        <w:rPr>
          <w:rFonts w:asciiTheme="majorHAnsi" w:hAnsiTheme="majorHAnsi" w:cstheme="majorHAnsi"/>
          <w:color w:val="000000"/>
          <w:sz w:val="22"/>
        </w:rPr>
      </w:pPr>
      <w:r w:rsidRPr="00F332F1">
        <w:rPr>
          <w:rFonts w:asciiTheme="majorHAnsi" w:hAnsiTheme="majorHAnsi" w:cstheme="majorHAnsi"/>
          <w:color w:val="000000"/>
          <w:sz w:val="22"/>
        </w:rPr>
        <w:t>For leave</w:t>
      </w:r>
      <w:r w:rsidR="00902923" w:rsidRPr="00F332F1">
        <w:rPr>
          <w:rFonts w:asciiTheme="majorHAnsi" w:hAnsiTheme="majorHAnsi" w:cstheme="majorHAnsi"/>
          <w:color w:val="000000"/>
          <w:sz w:val="22"/>
        </w:rPr>
        <w:t>s</w:t>
      </w:r>
      <w:r w:rsidRPr="00F332F1">
        <w:rPr>
          <w:rFonts w:asciiTheme="majorHAnsi" w:hAnsiTheme="majorHAnsi" w:cstheme="majorHAnsi"/>
          <w:color w:val="000000"/>
          <w:sz w:val="22"/>
        </w:rPr>
        <w:t xml:space="preserve"> of absence</w:t>
      </w:r>
      <w:r w:rsidR="00902923" w:rsidRPr="00F332F1">
        <w:rPr>
          <w:rFonts w:asciiTheme="majorHAnsi" w:hAnsiTheme="majorHAnsi" w:cstheme="majorHAnsi"/>
          <w:color w:val="000000"/>
          <w:sz w:val="22"/>
        </w:rPr>
        <w:t>,</w:t>
      </w:r>
      <w:r w:rsidRPr="00F332F1">
        <w:rPr>
          <w:rFonts w:asciiTheme="majorHAnsi" w:hAnsiTheme="majorHAnsi" w:cstheme="majorHAnsi"/>
          <w:color w:val="000000"/>
          <w:sz w:val="22"/>
        </w:rPr>
        <w:t xml:space="preserve"> the </w:t>
      </w:r>
      <w:r w:rsidR="001E4F3B" w:rsidRPr="00F332F1">
        <w:rPr>
          <w:rFonts w:asciiTheme="majorHAnsi" w:hAnsiTheme="majorHAnsi" w:cstheme="majorHAnsi"/>
          <w:color w:val="000000"/>
          <w:sz w:val="22"/>
        </w:rPr>
        <w:t>Therapeutic Sciences</w:t>
      </w:r>
      <w:r w:rsidRPr="00F332F1">
        <w:rPr>
          <w:rFonts w:asciiTheme="majorHAnsi" w:hAnsiTheme="majorHAnsi" w:cstheme="majorHAnsi"/>
          <w:color w:val="000000"/>
          <w:sz w:val="22"/>
        </w:rPr>
        <w:t xml:space="preserve"> </w:t>
      </w:r>
      <w:r w:rsidR="001E4F3B" w:rsidRPr="00F332F1">
        <w:rPr>
          <w:rFonts w:asciiTheme="majorHAnsi" w:hAnsiTheme="majorHAnsi" w:cstheme="majorHAnsi"/>
          <w:color w:val="000000"/>
          <w:sz w:val="22"/>
        </w:rPr>
        <w:t>G</w:t>
      </w:r>
      <w:r w:rsidRPr="00F332F1">
        <w:rPr>
          <w:rFonts w:asciiTheme="majorHAnsi" w:hAnsiTheme="majorHAnsi" w:cstheme="majorHAnsi"/>
          <w:color w:val="000000"/>
          <w:sz w:val="22"/>
        </w:rPr>
        <w:t xml:space="preserve">raduate </w:t>
      </w:r>
      <w:r w:rsidR="001E4F3B" w:rsidRPr="00F332F1">
        <w:rPr>
          <w:rFonts w:asciiTheme="majorHAnsi" w:hAnsiTheme="majorHAnsi" w:cstheme="majorHAnsi"/>
          <w:color w:val="000000"/>
          <w:sz w:val="22"/>
        </w:rPr>
        <w:t>P</w:t>
      </w:r>
      <w:r w:rsidRPr="00F332F1">
        <w:rPr>
          <w:rFonts w:asciiTheme="majorHAnsi" w:hAnsiTheme="majorHAnsi" w:cstheme="majorHAnsi"/>
          <w:color w:val="000000"/>
          <w:sz w:val="22"/>
        </w:rPr>
        <w:t xml:space="preserve">rogram follows the guidelines of the Brown University </w:t>
      </w:r>
      <w:r w:rsidR="00954330" w:rsidRPr="00F332F1">
        <w:rPr>
          <w:rFonts w:asciiTheme="majorHAnsi" w:hAnsiTheme="majorHAnsi" w:cstheme="majorHAnsi"/>
          <w:color w:val="000000"/>
          <w:sz w:val="22"/>
        </w:rPr>
        <w:t>Graduate School</w:t>
      </w:r>
      <w:r w:rsidR="00A22849" w:rsidRPr="00F332F1">
        <w:rPr>
          <w:rFonts w:asciiTheme="majorHAnsi" w:hAnsiTheme="majorHAnsi" w:cstheme="majorHAnsi"/>
          <w:color w:val="000000"/>
          <w:sz w:val="22"/>
        </w:rPr>
        <w:t xml:space="preserve">:  </w:t>
      </w:r>
      <w:hyperlink r:id="rId31" w:history="1">
        <w:r w:rsidR="00A22849" w:rsidRPr="00F332F1">
          <w:rPr>
            <w:rFonts w:asciiTheme="majorHAnsi" w:hAnsiTheme="majorHAnsi" w:cstheme="majorHAnsi"/>
            <w:color w:val="000000"/>
            <w:sz w:val="22"/>
          </w:rPr>
          <w:t>https://www.brown.edu/academics/gradschool/leaves-absence</w:t>
        </w:r>
      </w:hyperlink>
    </w:p>
    <w:p w14:paraId="5467D4D9" w14:textId="77777777" w:rsidR="004F67A4" w:rsidRPr="00F332F1" w:rsidRDefault="004F67A4" w:rsidP="008E248A">
      <w:pPr>
        <w:pStyle w:val="BodyText"/>
        <w:spacing w:line="240" w:lineRule="auto"/>
        <w:jc w:val="both"/>
        <w:rPr>
          <w:rFonts w:asciiTheme="majorHAnsi" w:hAnsiTheme="majorHAnsi" w:cstheme="majorHAnsi"/>
          <w:color w:val="000000"/>
          <w:sz w:val="22"/>
        </w:rPr>
      </w:pPr>
    </w:p>
    <w:p w14:paraId="5677AF76" w14:textId="4B16B669" w:rsidR="00C40E00" w:rsidRPr="00F332F1" w:rsidRDefault="004F67A4" w:rsidP="00C66EBD">
      <w:pPr>
        <w:pStyle w:val="BodyText"/>
        <w:spacing w:line="240" w:lineRule="auto"/>
        <w:jc w:val="both"/>
        <w:rPr>
          <w:rFonts w:asciiTheme="majorHAnsi" w:hAnsiTheme="majorHAnsi" w:cstheme="majorHAnsi"/>
          <w:sz w:val="22"/>
        </w:rPr>
      </w:pPr>
      <w:r w:rsidRPr="00F332F1">
        <w:rPr>
          <w:rFonts w:asciiTheme="majorHAnsi" w:hAnsiTheme="majorHAnsi" w:cstheme="majorHAnsi"/>
          <w:color w:val="000000"/>
          <w:sz w:val="22"/>
        </w:rPr>
        <w:t xml:space="preserve">The guidelines and timelines of leaves of absence, and returns from those leaves, are provided at the above Graduate School website.  If the student fails to appropriately inform the Graduate School of an intention to take a leave of absence, they will be considered still active and will be billed for tuition. </w:t>
      </w:r>
    </w:p>
    <w:p w14:paraId="33272C04" w14:textId="77777777" w:rsidR="00D43460" w:rsidRPr="00F332F1" w:rsidRDefault="00D43460" w:rsidP="008E248A">
      <w:pPr>
        <w:ind w:firstLine="720"/>
        <w:jc w:val="both"/>
        <w:rPr>
          <w:rFonts w:asciiTheme="majorHAnsi" w:hAnsiTheme="majorHAnsi" w:cstheme="majorHAnsi"/>
          <w:color w:val="000000"/>
          <w:sz w:val="22"/>
          <w:szCs w:val="22"/>
        </w:rPr>
      </w:pPr>
    </w:p>
    <w:p w14:paraId="25D48F82" w14:textId="044048C3" w:rsidR="008E248A" w:rsidRPr="00F332F1" w:rsidRDefault="0065396C" w:rsidP="008E248A">
      <w:pPr>
        <w:jc w:val="both"/>
        <w:rPr>
          <w:rFonts w:asciiTheme="majorHAnsi" w:hAnsiTheme="majorHAnsi" w:cstheme="majorHAnsi"/>
          <w:b/>
          <w:color w:val="000000"/>
          <w:sz w:val="22"/>
          <w:szCs w:val="22"/>
          <w:u w:val="single"/>
        </w:rPr>
      </w:pPr>
      <w:r w:rsidRPr="00F332F1">
        <w:rPr>
          <w:rFonts w:asciiTheme="majorHAnsi" w:hAnsiTheme="majorHAnsi" w:cstheme="majorHAnsi"/>
          <w:b/>
          <w:color w:val="000000"/>
          <w:sz w:val="22"/>
          <w:szCs w:val="22"/>
        </w:rPr>
        <w:t>XII</w:t>
      </w:r>
      <w:r w:rsidR="008E248A" w:rsidRPr="00F332F1">
        <w:rPr>
          <w:rFonts w:asciiTheme="majorHAnsi" w:hAnsiTheme="majorHAnsi" w:cstheme="majorHAnsi"/>
          <w:b/>
          <w:color w:val="000000"/>
          <w:sz w:val="22"/>
          <w:szCs w:val="22"/>
        </w:rPr>
        <w:t xml:space="preserve">. </w:t>
      </w:r>
      <w:r w:rsidRPr="00F332F1">
        <w:rPr>
          <w:rFonts w:asciiTheme="majorHAnsi" w:hAnsiTheme="majorHAnsi" w:cstheme="majorHAnsi"/>
          <w:b/>
          <w:color w:val="000000"/>
          <w:sz w:val="22"/>
          <w:szCs w:val="22"/>
        </w:rPr>
        <w:t xml:space="preserve">Academic </w:t>
      </w:r>
      <w:r w:rsidR="009C7D60" w:rsidRPr="00F332F1">
        <w:rPr>
          <w:rFonts w:asciiTheme="majorHAnsi" w:hAnsiTheme="majorHAnsi" w:cstheme="majorHAnsi"/>
          <w:b/>
          <w:color w:val="000000"/>
          <w:sz w:val="22"/>
          <w:szCs w:val="22"/>
        </w:rPr>
        <w:t xml:space="preserve">Warning and </w:t>
      </w:r>
      <w:r w:rsidR="008E248A" w:rsidRPr="00F332F1">
        <w:rPr>
          <w:rFonts w:asciiTheme="majorHAnsi" w:hAnsiTheme="majorHAnsi" w:cstheme="majorHAnsi"/>
          <w:b/>
          <w:color w:val="000000"/>
          <w:sz w:val="22"/>
          <w:szCs w:val="22"/>
        </w:rPr>
        <w:t>Dismissal</w:t>
      </w:r>
    </w:p>
    <w:p w14:paraId="669234E2" w14:textId="77777777" w:rsidR="008E248A" w:rsidRPr="00F332F1" w:rsidRDefault="008E248A" w:rsidP="008E248A">
      <w:pPr>
        <w:ind w:firstLine="720"/>
        <w:jc w:val="both"/>
        <w:rPr>
          <w:rFonts w:asciiTheme="majorHAnsi" w:hAnsiTheme="majorHAnsi" w:cstheme="majorHAnsi"/>
          <w:color w:val="000000"/>
          <w:sz w:val="22"/>
          <w:szCs w:val="22"/>
          <w:u w:val="single"/>
        </w:rPr>
      </w:pPr>
    </w:p>
    <w:p w14:paraId="2F23FF56" w14:textId="77777777" w:rsidR="001E4F3B" w:rsidRPr="001E4F3B" w:rsidRDefault="001E4F3B" w:rsidP="001E4F3B">
      <w:pPr>
        <w:spacing w:before="240" w:after="240"/>
        <w:rPr>
          <w:rFonts w:asciiTheme="majorHAnsi" w:eastAsia="Arial" w:hAnsiTheme="majorHAnsi" w:cstheme="majorHAnsi"/>
          <w:sz w:val="22"/>
          <w:szCs w:val="22"/>
        </w:rPr>
      </w:pPr>
      <w:r w:rsidRPr="001E4F3B">
        <w:rPr>
          <w:rFonts w:asciiTheme="majorHAnsi" w:eastAsia="Arial" w:hAnsiTheme="majorHAnsi" w:cstheme="majorHAnsi"/>
          <w:sz w:val="22"/>
          <w:szCs w:val="22"/>
        </w:rPr>
        <w:t>Failure to fulfill any Program requirements in a timely fashion will result in a student being placed on warning. A student on warning may be dismissed from the Graduate Program. This dismissal may be for academic or non-academic reasons. The Program Director will review each case and place his/her recommendation before the Graduate Program Committee convened by the Program Director. Two thirds of the Graduate Program Committee will constitute a quorum and a decision to accept the Director’s recommendation will require a favorable majority vote. Appeal of such decisions is to the Dean of the Graduate School.  Procedures relating to dismissal for academic misconduct are addressed separately in the Graduate School Handbook.</w:t>
      </w:r>
    </w:p>
    <w:p w14:paraId="13075897" w14:textId="77777777" w:rsidR="001E4F3B" w:rsidRPr="001E4F3B" w:rsidRDefault="001E4F3B" w:rsidP="001E4F3B">
      <w:pPr>
        <w:spacing w:before="240" w:after="240"/>
        <w:rPr>
          <w:rFonts w:asciiTheme="majorHAnsi" w:eastAsia="Arial" w:hAnsiTheme="majorHAnsi" w:cstheme="majorHAnsi"/>
          <w:sz w:val="22"/>
          <w:szCs w:val="22"/>
        </w:rPr>
      </w:pPr>
      <w:r w:rsidRPr="001E4F3B">
        <w:rPr>
          <w:rFonts w:asciiTheme="majorHAnsi" w:eastAsia="Arial" w:hAnsiTheme="majorHAnsi" w:cstheme="majorHAnsi"/>
          <w:b/>
          <w:color w:val="000000"/>
          <w:sz w:val="22"/>
          <w:szCs w:val="22"/>
        </w:rPr>
        <w:lastRenderedPageBreak/>
        <w:t>Reasons for being placed on warning status by the Program include, but are not limited to:</w:t>
      </w:r>
    </w:p>
    <w:p w14:paraId="1BDE643C"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 xml:space="preserve">Earning a grade that is lower than a B in any </w:t>
      </w:r>
      <w:r w:rsidRPr="001E4F3B">
        <w:rPr>
          <w:rFonts w:asciiTheme="majorHAnsi" w:eastAsia="Arial" w:hAnsiTheme="majorHAnsi" w:cstheme="majorHAnsi"/>
          <w:sz w:val="22"/>
          <w:szCs w:val="22"/>
        </w:rPr>
        <w:t xml:space="preserve">credits </w:t>
      </w:r>
      <w:r w:rsidRPr="001E4F3B">
        <w:rPr>
          <w:rFonts w:asciiTheme="majorHAnsi" w:eastAsia="Arial" w:hAnsiTheme="majorHAnsi" w:cstheme="majorHAnsi"/>
          <w:color w:val="000000"/>
          <w:sz w:val="22"/>
          <w:szCs w:val="22"/>
        </w:rPr>
        <w:t>(PhD</w:t>
      </w:r>
      <w:r w:rsidRPr="001E4F3B">
        <w:rPr>
          <w:rFonts w:asciiTheme="majorHAnsi" w:eastAsia="Arial" w:hAnsiTheme="majorHAnsi" w:cstheme="majorHAnsi"/>
          <w:sz w:val="22"/>
          <w:szCs w:val="22"/>
        </w:rPr>
        <w:t xml:space="preserve"> and Masters).</w:t>
      </w:r>
    </w:p>
    <w:p w14:paraId="3DB8214C"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sz w:val="22"/>
          <w:szCs w:val="22"/>
        </w:rPr>
        <w:t>F</w:t>
      </w:r>
      <w:r w:rsidRPr="001E4F3B">
        <w:rPr>
          <w:rFonts w:asciiTheme="majorHAnsi" w:eastAsia="Arial" w:hAnsiTheme="majorHAnsi" w:cstheme="majorHAnsi"/>
          <w:color w:val="000000"/>
          <w:sz w:val="22"/>
          <w:szCs w:val="22"/>
        </w:rPr>
        <w:t>ailing the PhD TSGP Biostatistics course twice.</w:t>
      </w:r>
    </w:p>
    <w:p w14:paraId="5BE22FBB"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to take the PhD Qualifying Exam by June 1 in the 4th semester, unless an extension has been approved by the Graduate Program Committee.</w:t>
      </w:r>
    </w:p>
    <w:p w14:paraId="0F4E11F2"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of a PhD student to be accepted into a thesis lab after 5 rotations.</w:t>
      </w:r>
    </w:p>
    <w:p w14:paraId="411331CD"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of a PhD student to complete 3 full lab rotations during the first academic year.</w:t>
      </w:r>
    </w:p>
    <w:p w14:paraId="186A6ADA"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 xml:space="preserve">Unsatisfactory progress in the thesis research, as determined by the Thesis Committee </w:t>
      </w:r>
      <w:r w:rsidRPr="001E4F3B">
        <w:rPr>
          <w:rFonts w:asciiTheme="majorHAnsi" w:eastAsia="Arial" w:hAnsiTheme="majorHAnsi" w:cstheme="majorHAnsi"/>
          <w:sz w:val="22"/>
          <w:szCs w:val="22"/>
        </w:rPr>
        <w:t>(PhD), and thesis advisor (Masters)</w:t>
      </w:r>
    </w:p>
    <w:p w14:paraId="4591FDD1"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sz w:val="22"/>
          <w:szCs w:val="22"/>
        </w:rPr>
        <w:t>Failure to submit final undergraduate transcript(s) to the Graduate School (PhD and Masters)</w:t>
      </w:r>
    </w:p>
    <w:p w14:paraId="0CC325DA" w14:textId="77777777" w:rsidR="001E4F3B" w:rsidRPr="001E4F3B" w:rsidRDefault="001E4F3B" w:rsidP="001E4F3B">
      <w:pPr>
        <w:rPr>
          <w:rFonts w:asciiTheme="majorHAnsi" w:eastAsia="Arial" w:hAnsiTheme="majorHAnsi" w:cstheme="majorHAnsi"/>
          <w:sz w:val="22"/>
          <w:szCs w:val="22"/>
        </w:rPr>
      </w:pPr>
    </w:p>
    <w:p w14:paraId="358FD764" w14:textId="77777777" w:rsidR="001E4F3B" w:rsidRPr="001E4F3B" w:rsidRDefault="001E4F3B" w:rsidP="001E4F3B">
      <w:pPr>
        <w:spacing w:after="240"/>
        <w:rPr>
          <w:rFonts w:asciiTheme="majorHAnsi" w:eastAsia="Arial" w:hAnsiTheme="majorHAnsi" w:cstheme="majorHAnsi"/>
          <w:sz w:val="22"/>
          <w:szCs w:val="22"/>
        </w:rPr>
      </w:pPr>
      <w:r w:rsidRPr="001E4F3B">
        <w:rPr>
          <w:rFonts w:asciiTheme="majorHAnsi" w:eastAsia="Arial" w:hAnsiTheme="majorHAnsi" w:cstheme="majorHAnsi"/>
          <w:sz w:val="22"/>
          <w:szCs w:val="22"/>
        </w:rPr>
        <w:t>Each warning letter will describe the problems and specify requirements for return to good academic standing, as well as deadlines for meeting those requirements.  If the designated requirements are not met by the specified deadlines, the student will be dismissed from the program.</w:t>
      </w:r>
    </w:p>
    <w:p w14:paraId="6A46DDD5" w14:textId="77777777" w:rsidR="001E4F3B" w:rsidRPr="001E4F3B" w:rsidRDefault="001E4F3B" w:rsidP="001E4F3B">
      <w:pPr>
        <w:spacing w:before="240" w:after="240"/>
        <w:rPr>
          <w:rFonts w:asciiTheme="majorHAnsi" w:eastAsia="Arial" w:hAnsiTheme="majorHAnsi" w:cstheme="majorHAnsi"/>
          <w:sz w:val="22"/>
          <w:szCs w:val="22"/>
        </w:rPr>
      </w:pPr>
      <w:r w:rsidRPr="001E4F3B">
        <w:rPr>
          <w:rFonts w:asciiTheme="majorHAnsi" w:eastAsia="Arial" w:hAnsiTheme="majorHAnsi" w:cstheme="majorHAnsi"/>
          <w:b/>
          <w:color w:val="000000"/>
          <w:sz w:val="22"/>
          <w:szCs w:val="22"/>
        </w:rPr>
        <w:t xml:space="preserve">In addition, the following specific circumstances, among others, can lead to </w:t>
      </w:r>
      <w:r w:rsidRPr="001E4F3B">
        <w:rPr>
          <w:rFonts w:asciiTheme="majorHAnsi" w:eastAsia="Arial" w:hAnsiTheme="majorHAnsi" w:cstheme="majorHAnsi"/>
          <w:b/>
          <w:sz w:val="22"/>
          <w:szCs w:val="22"/>
        </w:rPr>
        <w:t>dismissal</w:t>
      </w:r>
      <w:r w:rsidRPr="001E4F3B">
        <w:rPr>
          <w:rFonts w:asciiTheme="majorHAnsi" w:eastAsia="Arial" w:hAnsiTheme="majorHAnsi" w:cstheme="majorHAnsi"/>
          <w:b/>
          <w:color w:val="000000"/>
          <w:sz w:val="22"/>
          <w:szCs w:val="22"/>
        </w:rPr>
        <w:t>:</w:t>
      </w:r>
      <w:r w:rsidRPr="001E4F3B">
        <w:rPr>
          <w:rFonts w:asciiTheme="majorHAnsi" w:eastAsia="Arial" w:hAnsiTheme="majorHAnsi" w:cstheme="majorHAnsi"/>
          <w:color w:val="000000"/>
          <w:sz w:val="22"/>
          <w:szCs w:val="22"/>
        </w:rPr>
        <w:t> </w:t>
      </w:r>
    </w:p>
    <w:p w14:paraId="3BB931A9"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to meet the requirements of a warning letter within the deadlines provided (PhD and Masters).</w:t>
      </w:r>
    </w:p>
    <w:p w14:paraId="4AB2EED8"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to be accepted into a PhD thesis lab after 6 rotations.</w:t>
      </w:r>
    </w:p>
    <w:p w14:paraId="4D81B520"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 xml:space="preserve">Failing the PhD Qualifying Exam, or failing to meet the requirements and deadlines to pass the Qualifying Exam after receiving a pass with </w:t>
      </w:r>
      <w:r w:rsidRPr="001E4F3B">
        <w:rPr>
          <w:rFonts w:asciiTheme="majorHAnsi" w:eastAsia="Arial" w:hAnsiTheme="majorHAnsi" w:cstheme="majorHAnsi"/>
          <w:sz w:val="22"/>
          <w:szCs w:val="22"/>
        </w:rPr>
        <w:t>stipulations.</w:t>
      </w:r>
    </w:p>
    <w:p w14:paraId="040E729B" w14:textId="77777777" w:rsidR="001E4F3B" w:rsidRPr="001E4F3B" w:rsidRDefault="001E4F3B" w:rsidP="001E4F3B">
      <w:pPr>
        <w:numPr>
          <w:ilvl w:val="0"/>
          <w:numId w:val="31"/>
        </w:numPr>
        <w:pBdr>
          <w:top w:val="nil"/>
          <w:left w:val="nil"/>
          <w:bottom w:val="nil"/>
          <w:right w:val="nil"/>
          <w:between w:val="nil"/>
        </w:pBdr>
        <w:rPr>
          <w:rFonts w:asciiTheme="majorHAnsi" w:eastAsia="Arial" w:hAnsiTheme="majorHAnsi" w:cstheme="majorHAnsi"/>
          <w:sz w:val="22"/>
          <w:szCs w:val="22"/>
        </w:rPr>
      </w:pPr>
      <w:r w:rsidRPr="001E4F3B">
        <w:rPr>
          <w:rFonts w:asciiTheme="majorHAnsi" w:eastAsia="Arial" w:hAnsiTheme="majorHAnsi" w:cstheme="majorHAnsi"/>
          <w:color w:val="000000"/>
          <w:sz w:val="22"/>
          <w:szCs w:val="22"/>
        </w:rPr>
        <w:t>Failure to find a new lab within 2 months after leaving one's original thesis lab (PhD</w:t>
      </w:r>
      <w:r w:rsidRPr="001E4F3B">
        <w:rPr>
          <w:rFonts w:asciiTheme="majorHAnsi" w:eastAsia="Arial" w:hAnsiTheme="majorHAnsi" w:cstheme="majorHAnsi"/>
          <w:sz w:val="22"/>
          <w:szCs w:val="22"/>
        </w:rPr>
        <w:t xml:space="preserve"> and Masters)</w:t>
      </w:r>
      <w:r w:rsidRPr="001E4F3B">
        <w:rPr>
          <w:rFonts w:asciiTheme="majorHAnsi" w:eastAsia="Arial" w:hAnsiTheme="majorHAnsi" w:cstheme="majorHAnsi"/>
          <w:color w:val="000000"/>
          <w:sz w:val="22"/>
          <w:szCs w:val="22"/>
        </w:rPr>
        <w:t>.</w:t>
      </w:r>
    </w:p>
    <w:p w14:paraId="394F5FF4" w14:textId="77777777" w:rsidR="001E4F3B" w:rsidRPr="001E4F3B" w:rsidRDefault="001E4F3B" w:rsidP="001E4F3B">
      <w:pPr>
        <w:spacing w:before="240" w:after="240"/>
        <w:rPr>
          <w:rFonts w:asciiTheme="majorHAnsi" w:eastAsia="Arial" w:hAnsiTheme="majorHAnsi" w:cstheme="majorHAnsi"/>
          <w:sz w:val="22"/>
          <w:szCs w:val="22"/>
        </w:rPr>
      </w:pPr>
      <w:r w:rsidRPr="001E4F3B">
        <w:rPr>
          <w:rFonts w:asciiTheme="majorHAnsi" w:eastAsia="Arial" w:hAnsiTheme="majorHAnsi" w:cstheme="majorHAnsi"/>
          <w:b/>
          <w:color w:val="000000"/>
          <w:sz w:val="22"/>
          <w:szCs w:val="22"/>
        </w:rPr>
        <w:t>Grievance Procedures:</w:t>
      </w:r>
      <w:r w:rsidRPr="001E4F3B">
        <w:rPr>
          <w:rFonts w:asciiTheme="majorHAnsi" w:eastAsia="Arial" w:hAnsiTheme="majorHAnsi" w:cstheme="majorHAnsi"/>
          <w:color w:val="000000"/>
          <w:sz w:val="22"/>
          <w:szCs w:val="22"/>
        </w:rPr>
        <w:t> </w:t>
      </w:r>
    </w:p>
    <w:p w14:paraId="3520DD99" w14:textId="77777777" w:rsidR="001E4F3B" w:rsidRPr="001E4F3B" w:rsidRDefault="001E4F3B" w:rsidP="001E4F3B">
      <w:pPr>
        <w:spacing w:before="240" w:after="240"/>
        <w:rPr>
          <w:rFonts w:asciiTheme="majorHAnsi" w:eastAsia="Arial" w:hAnsiTheme="majorHAnsi" w:cstheme="majorHAnsi"/>
          <w:sz w:val="22"/>
          <w:szCs w:val="22"/>
        </w:rPr>
      </w:pPr>
      <w:r w:rsidRPr="001E4F3B">
        <w:rPr>
          <w:rFonts w:asciiTheme="majorHAnsi" w:eastAsia="Arial" w:hAnsiTheme="majorHAnsi" w:cstheme="majorHAnsi"/>
          <w:sz w:val="22"/>
          <w:szCs w:val="22"/>
        </w:rPr>
        <w:t>If a student believes a warning or dismissal is unjust, they may appeal the process according to the Graduate School grievance procedures:</w:t>
      </w:r>
    </w:p>
    <w:p w14:paraId="48E1F4C6" w14:textId="77777777" w:rsidR="001E4F3B" w:rsidRPr="001E4F3B" w:rsidRDefault="001F153D" w:rsidP="001E4F3B">
      <w:pPr>
        <w:rPr>
          <w:rFonts w:asciiTheme="majorHAnsi" w:eastAsia="Arial" w:hAnsiTheme="majorHAnsi" w:cstheme="majorHAnsi"/>
          <w:sz w:val="22"/>
          <w:szCs w:val="22"/>
        </w:rPr>
      </w:pPr>
      <w:hyperlink r:id="rId32">
        <w:r w:rsidR="001E4F3B" w:rsidRPr="001E4F3B">
          <w:rPr>
            <w:rFonts w:asciiTheme="majorHAnsi" w:eastAsia="Arial" w:hAnsiTheme="majorHAnsi" w:cstheme="majorHAnsi"/>
            <w:sz w:val="22"/>
            <w:szCs w:val="22"/>
          </w:rPr>
          <w:t>https://www.brown.edu/academics/gradschool/graduate-student-grievance-procedures</w:t>
        </w:r>
      </w:hyperlink>
      <w:r w:rsidR="001E4F3B" w:rsidRPr="001E4F3B">
        <w:rPr>
          <w:rFonts w:asciiTheme="majorHAnsi" w:eastAsia="Arial" w:hAnsiTheme="majorHAnsi" w:cstheme="majorHAnsi"/>
          <w:sz w:val="22"/>
          <w:szCs w:val="22"/>
        </w:rPr>
        <w:t xml:space="preserve"> </w:t>
      </w:r>
    </w:p>
    <w:p w14:paraId="3D17EF78" w14:textId="77777777" w:rsidR="007528A0" w:rsidRPr="001E4F3B" w:rsidRDefault="007528A0" w:rsidP="00C66EBD">
      <w:pPr>
        <w:spacing w:line="276" w:lineRule="auto"/>
        <w:jc w:val="both"/>
        <w:rPr>
          <w:rFonts w:asciiTheme="majorHAnsi" w:hAnsiTheme="majorHAnsi" w:cstheme="majorHAnsi"/>
          <w:color w:val="000000"/>
          <w:sz w:val="22"/>
          <w:szCs w:val="22"/>
        </w:rPr>
      </w:pPr>
    </w:p>
    <w:sectPr w:rsidR="007528A0" w:rsidRPr="001E4F3B" w:rsidSect="00F51ABD">
      <w:headerReference w:type="even" r:id="rId33"/>
      <w:headerReference w:type="default" r:id="rId34"/>
      <w:footerReference w:type="even" r:id="rId35"/>
      <w:footerReference w:type="default" r:id="rId36"/>
      <w:headerReference w:type="first" r:id="rId37"/>
      <w:footnotePr>
        <w:numRestart w:val="eachSect"/>
      </w:footnotePr>
      <w:type w:val="continuous"/>
      <w:pgSz w:w="12960" w:h="15840"/>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97FD" w14:textId="77777777" w:rsidR="001F153D" w:rsidRDefault="001F153D">
      <w:r>
        <w:separator/>
      </w:r>
    </w:p>
  </w:endnote>
  <w:endnote w:type="continuationSeparator" w:id="0">
    <w:p w14:paraId="5FFB1F81" w14:textId="77777777" w:rsidR="001F153D" w:rsidRDefault="001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989" w14:textId="77777777" w:rsidR="00B84840" w:rsidRPr="001C28E4" w:rsidRDefault="00B84840">
    <w:pPr>
      <w:pStyle w:val="Footer"/>
      <w:framePr w:wrap="around" w:vAnchor="text" w:hAnchor="margin" w:xAlign="center" w:y="1"/>
      <w:rPr>
        <w:rStyle w:val="PageNumber"/>
      </w:rPr>
    </w:pPr>
    <w:r w:rsidRPr="001C28E4">
      <w:rPr>
        <w:rStyle w:val="PageNumber"/>
        <w:rFonts w:cs="Arial"/>
        <w:sz w:val="24"/>
        <w:szCs w:val="24"/>
      </w:rPr>
      <w:fldChar w:fldCharType="begin"/>
    </w:r>
    <w:r w:rsidRPr="001C28E4">
      <w:rPr>
        <w:rStyle w:val="PageNumber"/>
        <w:rFonts w:cs="Arial"/>
        <w:sz w:val="24"/>
        <w:szCs w:val="24"/>
      </w:rPr>
      <w:instrText xml:space="preserve">PAGE  </w:instrText>
    </w:r>
    <w:r w:rsidRPr="001C28E4">
      <w:rPr>
        <w:rStyle w:val="PageNumber"/>
        <w:rFonts w:cs="Arial"/>
        <w:sz w:val="24"/>
        <w:szCs w:val="24"/>
      </w:rPr>
      <w:fldChar w:fldCharType="separate"/>
    </w:r>
    <w:r>
      <w:rPr>
        <w:rStyle w:val="PageNumber"/>
        <w:rFonts w:cs="Arial"/>
        <w:noProof/>
        <w:sz w:val="24"/>
        <w:szCs w:val="24"/>
      </w:rPr>
      <w:t>8</w:t>
    </w:r>
    <w:r w:rsidRPr="001C28E4">
      <w:rPr>
        <w:rStyle w:val="PageNumber"/>
        <w:rFonts w:cs="Arial"/>
        <w:sz w:val="24"/>
        <w:szCs w:val="24"/>
      </w:rPr>
      <w:fldChar w:fldCharType="end"/>
    </w:r>
  </w:p>
  <w:p w14:paraId="7F75B213" w14:textId="77777777" w:rsidR="00B84840" w:rsidRDefault="00B84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5352" w14:textId="77777777" w:rsidR="00B84840" w:rsidRPr="001C28E4" w:rsidRDefault="00B84840">
    <w:pPr>
      <w:pStyle w:val="Footer"/>
      <w:framePr w:wrap="around" w:vAnchor="text" w:hAnchor="margin" w:xAlign="center" w:y="1"/>
      <w:rPr>
        <w:rStyle w:val="PageNumber"/>
      </w:rPr>
    </w:pPr>
    <w:r w:rsidRPr="001C28E4">
      <w:rPr>
        <w:rStyle w:val="PageNumber"/>
        <w:rFonts w:cs="Arial"/>
        <w:sz w:val="24"/>
        <w:szCs w:val="24"/>
      </w:rPr>
      <w:fldChar w:fldCharType="begin"/>
    </w:r>
    <w:r w:rsidRPr="001C28E4">
      <w:rPr>
        <w:rStyle w:val="PageNumber"/>
        <w:rFonts w:cs="Arial"/>
        <w:sz w:val="24"/>
        <w:szCs w:val="24"/>
      </w:rPr>
      <w:instrText xml:space="preserve">PAGE  </w:instrText>
    </w:r>
    <w:r w:rsidRPr="001C28E4">
      <w:rPr>
        <w:rStyle w:val="PageNumber"/>
        <w:rFonts w:cs="Arial"/>
        <w:sz w:val="24"/>
        <w:szCs w:val="24"/>
      </w:rPr>
      <w:fldChar w:fldCharType="separate"/>
    </w:r>
    <w:r>
      <w:rPr>
        <w:rStyle w:val="PageNumber"/>
        <w:rFonts w:cs="Arial"/>
        <w:noProof/>
        <w:sz w:val="24"/>
        <w:szCs w:val="24"/>
      </w:rPr>
      <w:t>7</w:t>
    </w:r>
    <w:r w:rsidRPr="001C28E4">
      <w:rPr>
        <w:rStyle w:val="PageNumber"/>
        <w:rFonts w:cs="Arial"/>
        <w:sz w:val="24"/>
        <w:szCs w:val="24"/>
      </w:rPr>
      <w:fldChar w:fldCharType="end"/>
    </w:r>
  </w:p>
  <w:p w14:paraId="518A2517" w14:textId="77777777" w:rsidR="00B84840" w:rsidRDefault="00B8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5477" w14:textId="77777777" w:rsidR="001F153D" w:rsidRDefault="001F153D">
      <w:r>
        <w:separator/>
      </w:r>
    </w:p>
  </w:footnote>
  <w:footnote w:type="continuationSeparator" w:id="0">
    <w:p w14:paraId="46AB4449" w14:textId="77777777" w:rsidR="001F153D" w:rsidRDefault="001F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4A89" w14:textId="396AFC88" w:rsidR="00773451" w:rsidRPr="001C28E4" w:rsidRDefault="00773451" w:rsidP="00773451">
    <w:pPr>
      <w:spacing w:line="240" w:lineRule="exact"/>
      <w:rPr>
        <w:rFonts w:cs="Arial"/>
        <w:i/>
        <w:color w:val="000000"/>
      </w:rPr>
    </w:pPr>
    <w:r>
      <w:rPr>
        <w:rFonts w:cs="Arial"/>
        <w:i/>
        <w:color w:val="000000"/>
      </w:rPr>
      <w:t>Therapeutic Sciences Graduate Program</w:t>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Pr>
        <w:rFonts w:cs="Arial"/>
        <w:i/>
        <w:color w:val="000000"/>
      </w:rPr>
      <w:tab/>
    </w:r>
    <w:r w:rsidR="00F51ABD">
      <w:rPr>
        <w:rFonts w:cs="Arial"/>
        <w:i/>
        <w:color w:val="000000"/>
      </w:rPr>
      <w:t xml:space="preserve">      </w:t>
    </w:r>
    <w:r>
      <w:rPr>
        <w:rFonts w:cs="Arial"/>
        <w:i/>
        <w:color w:val="000000"/>
      </w:rPr>
      <w:t>Student Handbook</w:t>
    </w:r>
  </w:p>
  <w:p w14:paraId="0DB81F97" w14:textId="77777777" w:rsidR="00B84840" w:rsidRPr="00773451" w:rsidRDefault="00B84840" w:rsidP="00773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D773" w14:textId="60E5BD29" w:rsidR="00B84840" w:rsidRPr="001C28E4" w:rsidRDefault="00773451" w:rsidP="008E248A">
    <w:pPr>
      <w:spacing w:line="240" w:lineRule="exact"/>
      <w:rPr>
        <w:rFonts w:cs="Arial"/>
        <w:i/>
        <w:color w:val="000000"/>
      </w:rPr>
    </w:pPr>
    <w:r>
      <w:rPr>
        <w:rFonts w:cs="Arial"/>
        <w:i/>
        <w:color w:val="000000"/>
      </w:rPr>
      <w:t xml:space="preserve">Therapeutic Sciences </w:t>
    </w:r>
    <w:r w:rsidR="00B84840">
      <w:rPr>
        <w:rFonts w:cs="Arial"/>
        <w:i/>
        <w:color w:val="000000"/>
      </w:rPr>
      <w:t>Graduate Program</w:t>
    </w:r>
    <w:r w:rsidR="00B84840">
      <w:rPr>
        <w:rFonts w:cs="Arial"/>
        <w:i/>
        <w:color w:val="000000"/>
      </w:rPr>
      <w:tab/>
    </w:r>
    <w:r w:rsidR="00B84840">
      <w:rPr>
        <w:rFonts w:cs="Arial"/>
        <w:i/>
        <w:color w:val="000000"/>
      </w:rPr>
      <w:tab/>
    </w:r>
    <w:r w:rsidR="00B84840">
      <w:rPr>
        <w:rFonts w:cs="Arial"/>
        <w:i/>
        <w:color w:val="000000"/>
      </w:rPr>
      <w:tab/>
    </w:r>
    <w:r w:rsidR="00B84840">
      <w:rPr>
        <w:rFonts w:cs="Arial"/>
        <w:i/>
        <w:color w:val="000000"/>
      </w:rPr>
      <w:tab/>
    </w:r>
    <w:r>
      <w:rPr>
        <w:rFonts w:cs="Arial"/>
        <w:i/>
        <w:color w:val="000000"/>
      </w:rPr>
      <w:tab/>
    </w:r>
    <w:r>
      <w:rPr>
        <w:rFonts w:cs="Arial"/>
        <w:i/>
        <w:color w:val="000000"/>
      </w:rPr>
      <w:tab/>
    </w:r>
    <w:r w:rsidR="00F51ABD">
      <w:rPr>
        <w:rFonts w:cs="Arial"/>
        <w:i/>
        <w:color w:val="000000"/>
      </w:rPr>
      <w:t xml:space="preserve">      </w:t>
    </w:r>
    <w:r>
      <w:rPr>
        <w:rFonts w:cs="Arial"/>
        <w:i/>
        <w:color w:val="000000"/>
      </w:rPr>
      <w:t xml:space="preserve">Student </w:t>
    </w:r>
    <w:r w:rsidR="00B84840">
      <w:rPr>
        <w:rFonts w:cs="Arial"/>
        <w:i/>
        <w:color w:val="000000"/>
      </w:rPr>
      <w:t>Handbook</w:t>
    </w:r>
  </w:p>
  <w:p w14:paraId="46920874" w14:textId="77777777" w:rsidR="00B84840" w:rsidRDefault="00B8484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70F" w14:textId="369C96D5" w:rsidR="00B84840" w:rsidRPr="001C28E4" w:rsidRDefault="00610C09" w:rsidP="008E248A">
    <w:pPr>
      <w:spacing w:line="240" w:lineRule="exact"/>
      <w:rPr>
        <w:rFonts w:cs="Arial"/>
        <w:i/>
        <w:color w:val="000000"/>
      </w:rPr>
    </w:pPr>
    <w:r>
      <w:rPr>
        <w:rFonts w:cs="Arial"/>
        <w:i/>
        <w:color w:val="000000"/>
      </w:rPr>
      <w:t>Therapeutic Sciences PhD</w:t>
    </w:r>
    <w:r w:rsidR="00B84840">
      <w:rPr>
        <w:rFonts w:cs="Arial"/>
        <w:i/>
        <w:color w:val="000000"/>
      </w:rPr>
      <w:t xml:space="preserve"> Program</w:t>
    </w:r>
    <w:r w:rsidR="00B84840">
      <w:rPr>
        <w:rFonts w:cs="Arial"/>
        <w:i/>
        <w:color w:val="000000"/>
      </w:rPr>
      <w:tab/>
    </w:r>
    <w:r w:rsidR="00B84840">
      <w:rPr>
        <w:rFonts w:cs="Arial"/>
        <w:i/>
        <w:color w:val="000000"/>
      </w:rPr>
      <w:tab/>
    </w:r>
    <w:r w:rsidR="00B84840">
      <w:rPr>
        <w:rFonts w:cs="Arial"/>
        <w:i/>
        <w:color w:val="000000"/>
      </w:rPr>
      <w:tab/>
    </w:r>
    <w:r w:rsidR="00B84840">
      <w:rPr>
        <w:rFonts w:cs="Arial"/>
        <w:i/>
        <w:color w:val="000000"/>
      </w:rPr>
      <w:tab/>
    </w:r>
    <w:r>
      <w:rPr>
        <w:rFonts w:cs="Arial"/>
        <w:i/>
        <w:color w:val="000000"/>
      </w:rPr>
      <w:tab/>
    </w:r>
    <w:r>
      <w:rPr>
        <w:rFonts w:cs="Arial"/>
        <w:i/>
        <w:color w:val="000000"/>
      </w:rPr>
      <w:tab/>
    </w:r>
    <w:r>
      <w:rPr>
        <w:rFonts w:cs="Arial"/>
        <w:i/>
        <w:color w:val="000000"/>
      </w:rPr>
      <w:tab/>
      <w:t xml:space="preserve">Student </w:t>
    </w:r>
    <w:r w:rsidR="00B84840">
      <w:rPr>
        <w:rFonts w:cs="Arial"/>
        <w:i/>
        <w:color w:val="000000"/>
      </w:rPr>
      <w:t>Handbook</w:t>
    </w:r>
  </w:p>
  <w:p w14:paraId="12888329" w14:textId="77777777" w:rsidR="00B84840" w:rsidRDefault="00B8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C28"/>
    <w:multiLevelType w:val="multilevel"/>
    <w:tmpl w:val="60D4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91EDE"/>
    <w:multiLevelType w:val="hybridMultilevel"/>
    <w:tmpl w:val="EA044210"/>
    <w:lvl w:ilvl="0" w:tplc="AA4C96D4">
      <w:start w:val="1"/>
      <w:numFmt w:val="bullet"/>
      <w:lvlText w:val=""/>
      <w:lvlJc w:val="left"/>
      <w:pPr>
        <w:ind w:left="630" w:hanging="360"/>
      </w:pPr>
      <w:rPr>
        <w:rFonts w:ascii="Symbol" w:hAnsi="Symbol" w:hint="default"/>
        <w:sz w:val="40"/>
        <w:szCs w:val="4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3156778"/>
    <w:multiLevelType w:val="multilevel"/>
    <w:tmpl w:val="6436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C6F5A"/>
    <w:multiLevelType w:val="hybridMultilevel"/>
    <w:tmpl w:val="58A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36A63"/>
    <w:multiLevelType w:val="singleLevel"/>
    <w:tmpl w:val="04090013"/>
    <w:lvl w:ilvl="0">
      <w:start w:val="11"/>
      <w:numFmt w:val="upperRoman"/>
      <w:lvlText w:val="%1."/>
      <w:lvlJc w:val="left"/>
      <w:pPr>
        <w:tabs>
          <w:tab w:val="num" w:pos="720"/>
        </w:tabs>
        <w:ind w:left="720" w:hanging="720"/>
      </w:pPr>
      <w:rPr>
        <w:rFonts w:hint="default"/>
      </w:rPr>
    </w:lvl>
  </w:abstractNum>
  <w:abstractNum w:abstractNumId="5" w15:restartNumberingAfterBreak="0">
    <w:nsid w:val="096A4C82"/>
    <w:multiLevelType w:val="hybridMultilevel"/>
    <w:tmpl w:val="CA5A9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5C1912"/>
    <w:multiLevelType w:val="hybridMultilevel"/>
    <w:tmpl w:val="28EC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64614"/>
    <w:multiLevelType w:val="hybridMultilevel"/>
    <w:tmpl w:val="795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F6025"/>
    <w:multiLevelType w:val="hybridMultilevel"/>
    <w:tmpl w:val="F278AE74"/>
    <w:lvl w:ilvl="0" w:tplc="19CE7DA6">
      <w:start w:val="1"/>
      <w:numFmt w:val="decimal"/>
      <w:lvlText w:val="%1)"/>
      <w:lvlJc w:val="left"/>
      <w:pPr>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207B3"/>
    <w:multiLevelType w:val="hybridMultilevel"/>
    <w:tmpl w:val="A76A0E0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C663169"/>
    <w:multiLevelType w:val="hybridMultilevel"/>
    <w:tmpl w:val="696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638"/>
    <w:multiLevelType w:val="hybridMultilevel"/>
    <w:tmpl w:val="981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A1949"/>
    <w:multiLevelType w:val="hybridMultilevel"/>
    <w:tmpl w:val="963C1DE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D851382"/>
    <w:multiLevelType w:val="hybridMultilevel"/>
    <w:tmpl w:val="FA622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E5302"/>
    <w:multiLevelType w:val="hybridMultilevel"/>
    <w:tmpl w:val="6F5A3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F3405E"/>
    <w:multiLevelType w:val="multilevel"/>
    <w:tmpl w:val="49525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B00173"/>
    <w:multiLevelType w:val="hybridMultilevel"/>
    <w:tmpl w:val="BCB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679A"/>
    <w:multiLevelType w:val="multilevel"/>
    <w:tmpl w:val="8C760AD0"/>
    <w:lvl w:ilvl="0">
      <w:start w:val="1"/>
      <w:numFmt w:val="bullet"/>
      <w:lvlText w:val="o"/>
      <w:lvlJc w:val="left"/>
      <w:pPr>
        <w:ind w:left="630" w:hanging="360"/>
      </w:pPr>
      <w:rPr>
        <w:rFonts w:ascii="Courier New" w:hAnsi="Courier New" w:hint="default"/>
      </w:rPr>
    </w:lvl>
    <w:lvl w:ilvl="1">
      <w:start w:val="1"/>
      <w:numFmt w:val="bullet"/>
      <w:lvlText w:val="o"/>
      <w:lvlJc w:val="left"/>
      <w:pPr>
        <w:ind w:left="1350" w:hanging="360"/>
      </w:pPr>
      <w:rPr>
        <w:rFonts w:ascii="Courier New" w:hAnsi="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Wingdings" w:hAnsi="Wingdings" w:hint="default"/>
      </w:rPr>
    </w:lvl>
  </w:abstractNum>
  <w:abstractNum w:abstractNumId="18" w15:restartNumberingAfterBreak="0">
    <w:nsid w:val="4B0A7815"/>
    <w:multiLevelType w:val="hybridMultilevel"/>
    <w:tmpl w:val="0D7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579A2"/>
    <w:multiLevelType w:val="hybridMultilevel"/>
    <w:tmpl w:val="2CBE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47E22"/>
    <w:multiLevelType w:val="multilevel"/>
    <w:tmpl w:val="714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24DC9"/>
    <w:multiLevelType w:val="hybridMultilevel"/>
    <w:tmpl w:val="9FE815F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8544488"/>
    <w:multiLevelType w:val="hybridMultilevel"/>
    <w:tmpl w:val="8C760AD0"/>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A181B87"/>
    <w:multiLevelType w:val="multilevel"/>
    <w:tmpl w:val="F278AE74"/>
    <w:lvl w:ilvl="0">
      <w:start w:val="1"/>
      <w:numFmt w:val="decimal"/>
      <w:lvlText w:val="%1)"/>
      <w:lvlJc w:val="left"/>
      <w:pPr>
        <w:ind w:left="630" w:hanging="360"/>
      </w:pPr>
      <w:rPr>
        <w:rFonts w:ascii="Arial" w:hAnsi="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8B5857"/>
    <w:multiLevelType w:val="multilevel"/>
    <w:tmpl w:val="8CCA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DC7DAE"/>
    <w:multiLevelType w:val="multilevel"/>
    <w:tmpl w:val="9700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41A8F"/>
    <w:multiLevelType w:val="multilevel"/>
    <w:tmpl w:val="29086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5E5497"/>
    <w:multiLevelType w:val="hybridMultilevel"/>
    <w:tmpl w:val="FEBC29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4C20BCF"/>
    <w:multiLevelType w:val="hybridMultilevel"/>
    <w:tmpl w:val="88EC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F26AE"/>
    <w:multiLevelType w:val="hybridMultilevel"/>
    <w:tmpl w:val="59C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E359E"/>
    <w:multiLevelType w:val="hybridMultilevel"/>
    <w:tmpl w:val="534E2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3"/>
  </w:num>
  <w:num w:numId="3">
    <w:abstractNumId w:val="11"/>
  </w:num>
  <w:num w:numId="4">
    <w:abstractNumId w:val="8"/>
  </w:num>
  <w:num w:numId="5">
    <w:abstractNumId w:val="6"/>
  </w:num>
  <w:num w:numId="6">
    <w:abstractNumId w:val="28"/>
  </w:num>
  <w:num w:numId="7">
    <w:abstractNumId w:val="12"/>
  </w:num>
  <w:num w:numId="8">
    <w:abstractNumId w:val="5"/>
  </w:num>
  <w:num w:numId="9">
    <w:abstractNumId w:val="23"/>
  </w:num>
  <w:num w:numId="10">
    <w:abstractNumId w:val="3"/>
  </w:num>
  <w:num w:numId="11">
    <w:abstractNumId w:val="27"/>
  </w:num>
  <w:num w:numId="12">
    <w:abstractNumId w:val="1"/>
  </w:num>
  <w:num w:numId="13">
    <w:abstractNumId w:val="22"/>
  </w:num>
  <w:num w:numId="14">
    <w:abstractNumId w:val="9"/>
  </w:num>
  <w:num w:numId="15">
    <w:abstractNumId w:val="17"/>
  </w:num>
  <w:num w:numId="16">
    <w:abstractNumId w:val="10"/>
  </w:num>
  <w:num w:numId="17">
    <w:abstractNumId w:val="25"/>
  </w:num>
  <w:num w:numId="18">
    <w:abstractNumId w:val="2"/>
  </w:num>
  <w:num w:numId="19">
    <w:abstractNumId w:val="20"/>
  </w:num>
  <w:num w:numId="20">
    <w:abstractNumId w:val="16"/>
  </w:num>
  <w:num w:numId="21">
    <w:abstractNumId w:val="21"/>
  </w:num>
  <w:num w:numId="22">
    <w:abstractNumId w:val="24"/>
  </w:num>
  <w:num w:numId="23">
    <w:abstractNumId w:val="0"/>
  </w:num>
  <w:num w:numId="24">
    <w:abstractNumId w:val="15"/>
  </w:num>
  <w:num w:numId="25">
    <w:abstractNumId w:val="14"/>
  </w:num>
  <w:num w:numId="26">
    <w:abstractNumId w:val="19"/>
  </w:num>
  <w:num w:numId="27">
    <w:abstractNumId w:val="7"/>
  </w:num>
  <w:num w:numId="28">
    <w:abstractNumId w:val="30"/>
  </w:num>
  <w:num w:numId="29">
    <w:abstractNumId w:val="1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intFractionalCharacterWidth/>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869"/>
    <w:rsid w:val="0000367E"/>
    <w:rsid w:val="0000441E"/>
    <w:rsid w:val="00006A13"/>
    <w:rsid w:val="00011380"/>
    <w:rsid w:val="00011C42"/>
    <w:rsid w:val="000130A5"/>
    <w:rsid w:val="000136FD"/>
    <w:rsid w:val="00014C18"/>
    <w:rsid w:val="00015161"/>
    <w:rsid w:val="0001634D"/>
    <w:rsid w:val="0001744E"/>
    <w:rsid w:val="00024AA0"/>
    <w:rsid w:val="00024D0A"/>
    <w:rsid w:val="0003032E"/>
    <w:rsid w:val="0003067F"/>
    <w:rsid w:val="00030D63"/>
    <w:rsid w:val="00031F7B"/>
    <w:rsid w:val="000328A1"/>
    <w:rsid w:val="00033660"/>
    <w:rsid w:val="000349EB"/>
    <w:rsid w:val="00035EEA"/>
    <w:rsid w:val="0004282C"/>
    <w:rsid w:val="00042B10"/>
    <w:rsid w:val="00043362"/>
    <w:rsid w:val="00043802"/>
    <w:rsid w:val="0004543F"/>
    <w:rsid w:val="000454EA"/>
    <w:rsid w:val="0004797E"/>
    <w:rsid w:val="0005056D"/>
    <w:rsid w:val="00051860"/>
    <w:rsid w:val="0005194A"/>
    <w:rsid w:val="00052338"/>
    <w:rsid w:val="00052666"/>
    <w:rsid w:val="00052E86"/>
    <w:rsid w:val="00053F2A"/>
    <w:rsid w:val="00057CDC"/>
    <w:rsid w:val="00061158"/>
    <w:rsid w:val="00063F6C"/>
    <w:rsid w:val="00065F00"/>
    <w:rsid w:val="00070AB3"/>
    <w:rsid w:val="00071794"/>
    <w:rsid w:val="000731B4"/>
    <w:rsid w:val="000749CA"/>
    <w:rsid w:val="00086BE6"/>
    <w:rsid w:val="000903B0"/>
    <w:rsid w:val="000925D6"/>
    <w:rsid w:val="000939B3"/>
    <w:rsid w:val="00094A7D"/>
    <w:rsid w:val="0009500B"/>
    <w:rsid w:val="000967D1"/>
    <w:rsid w:val="00097795"/>
    <w:rsid w:val="000A11A8"/>
    <w:rsid w:val="000A179B"/>
    <w:rsid w:val="000A3274"/>
    <w:rsid w:val="000A3FD5"/>
    <w:rsid w:val="000A6823"/>
    <w:rsid w:val="000B12CA"/>
    <w:rsid w:val="000B15D4"/>
    <w:rsid w:val="000B47D9"/>
    <w:rsid w:val="000B650A"/>
    <w:rsid w:val="000B6869"/>
    <w:rsid w:val="000B779F"/>
    <w:rsid w:val="000B7AAC"/>
    <w:rsid w:val="000B7FCC"/>
    <w:rsid w:val="000C077F"/>
    <w:rsid w:val="000C6DCF"/>
    <w:rsid w:val="000D1741"/>
    <w:rsid w:val="000D1F6D"/>
    <w:rsid w:val="000D2EE9"/>
    <w:rsid w:val="000D643A"/>
    <w:rsid w:val="000E1378"/>
    <w:rsid w:val="000E2775"/>
    <w:rsid w:val="000E6C0F"/>
    <w:rsid w:val="000E7E8D"/>
    <w:rsid w:val="000F2134"/>
    <w:rsid w:val="000F246B"/>
    <w:rsid w:val="000F4656"/>
    <w:rsid w:val="000F5EC9"/>
    <w:rsid w:val="000F5F1C"/>
    <w:rsid w:val="000F7E28"/>
    <w:rsid w:val="00105D6F"/>
    <w:rsid w:val="001103CF"/>
    <w:rsid w:val="00111942"/>
    <w:rsid w:val="00112781"/>
    <w:rsid w:val="0012043C"/>
    <w:rsid w:val="0012189D"/>
    <w:rsid w:val="00124AC5"/>
    <w:rsid w:val="00125C0C"/>
    <w:rsid w:val="0012709D"/>
    <w:rsid w:val="00131BFF"/>
    <w:rsid w:val="00133CC7"/>
    <w:rsid w:val="00136531"/>
    <w:rsid w:val="0014179F"/>
    <w:rsid w:val="00142DAF"/>
    <w:rsid w:val="001447DD"/>
    <w:rsid w:val="00145A52"/>
    <w:rsid w:val="001473F2"/>
    <w:rsid w:val="001475BD"/>
    <w:rsid w:val="00147C39"/>
    <w:rsid w:val="00147E89"/>
    <w:rsid w:val="00154947"/>
    <w:rsid w:val="00154A96"/>
    <w:rsid w:val="00156DB2"/>
    <w:rsid w:val="00160875"/>
    <w:rsid w:val="0016257F"/>
    <w:rsid w:val="00162628"/>
    <w:rsid w:val="00163F7E"/>
    <w:rsid w:val="00164CC7"/>
    <w:rsid w:val="00166260"/>
    <w:rsid w:val="0016794B"/>
    <w:rsid w:val="001741CE"/>
    <w:rsid w:val="00176EC2"/>
    <w:rsid w:val="0018025D"/>
    <w:rsid w:val="00180615"/>
    <w:rsid w:val="0018302A"/>
    <w:rsid w:val="00186B89"/>
    <w:rsid w:val="001903C1"/>
    <w:rsid w:val="001920E1"/>
    <w:rsid w:val="001A0441"/>
    <w:rsid w:val="001B548D"/>
    <w:rsid w:val="001B6665"/>
    <w:rsid w:val="001C1F61"/>
    <w:rsid w:val="001C22F6"/>
    <w:rsid w:val="001C4E77"/>
    <w:rsid w:val="001C63CE"/>
    <w:rsid w:val="001C6AA8"/>
    <w:rsid w:val="001D2252"/>
    <w:rsid w:val="001D2F1E"/>
    <w:rsid w:val="001D41B8"/>
    <w:rsid w:val="001E2E43"/>
    <w:rsid w:val="001E4BE4"/>
    <w:rsid w:val="001E4F3B"/>
    <w:rsid w:val="001E71C2"/>
    <w:rsid w:val="001F0DB9"/>
    <w:rsid w:val="001F1525"/>
    <w:rsid w:val="001F153D"/>
    <w:rsid w:val="001F2763"/>
    <w:rsid w:val="0020244D"/>
    <w:rsid w:val="002024AD"/>
    <w:rsid w:val="00202C5A"/>
    <w:rsid w:val="0021524A"/>
    <w:rsid w:val="00225564"/>
    <w:rsid w:val="00226401"/>
    <w:rsid w:val="002332FC"/>
    <w:rsid w:val="00237D9D"/>
    <w:rsid w:val="00237E84"/>
    <w:rsid w:val="0024073F"/>
    <w:rsid w:val="0024339B"/>
    <w:rsid w:val="002434BC"/>
    <w:rsid w:val="00243DB3"/>
    <w:rsid w:val="00243FBA"/>
    <w:rsid w:val="00244E57"/>
    <w:rsid w:val="00245D4A"/>
    <w:rsid w:val="002464A1"/>
    <w:rsid w:val="002504DA"/>
    <w:rsid w:val="00250C34"/>
    <w:rsid w:val="0025488A"/>
    <w:rsid w:val="002572BE"/>
    <w:rsid w:val="00261C14"/>
    <w:rsid w:val="00262BDA"/>
    <w:rsid w:val="00263ECE"/>
    <w:rsid w:val="00270F74"/>
    <w:rsid w:val="00271C0A"/>
    <w:rsid w:val="00276F20"/>
    <w:rsid w:val="00277805"/>
    <w:rsid w:val="0028074A"/>
    <w:rsid w:val="00282035"/>
    <w:rsid w:val="002849F1"/>
    <w:rsid w:val="00284DEE"/>
    <w:rsid w:val="00286DEC"/>
    <w:rsid w:val="0028751F"/>
    <w:rsid w:val="00287588"/>
    <w:rsid w:val="00290BA3"/>
    <w:rsid w:val="00290FFE"/>
    <w:rsid w:val="002936D4"/>
    <w:rsid w:val="002936EF"/>
    <w:rsid w:val="0029445D"/>
    <w:rsid w:val="00295117"/>
    <w:rsid w:val="00295F2B"/>
    <w:rsid w:val="002A1889"/>
    <w:rsid w:val="002A5A3D"/>
    <w:rsid w:val="002A7D90"/>
    <w:rsid w:val="002B1BFF"/>
    <w:rsid w:val="002B226A"/>
    <w:rsid w:val="002C424C"/>
    <w:rsid w:val="002C6519"/>
    <w:rsid w:val="002C6881"/>
    <w:rsid w:val="002D3B53"/>
    <w:rsid w:val="002E3E90"/>
    <w:rsid w:val="002F086A"/>
    <w:rsid w:val="002F2047"/>
    <w:rsid w:val="003006CC"/>
    <w:rsid w:val="00300721"/>
    <w:rsid w:val="0030265A"/>
    <w:rsid w:val="00303A9F"/>
    <w:rsid w:val="00303C78"/>
    <w:rsid w:val="00304A72"/>
    <w:rsid w:val="00305B06"/>
    <w:rsid w:val="00311705"/>
    <w:rsid w:val="003123E2"/>
    <w:rsid w:val="003172B4"/>
    <w:rsid w:val="00317FC6"/>
    <w:rsid w:val="00320CC0"/>
    <w:rsid w:val="00321DA8"/>
    <w:rsid w:val="003228D5"/>
    <w:rsid w:val="003252F8"/>
    <w:rsid w:val="003271A6"/>
    <w:rsid w:val="003311E9"/>
    <w:rsid w:val="003315E2"/>
    <w:rsid w:val="00332F9D"/>
    <w:rsid w:val="00333E06"/>
    <w:rsid w:val="00334246"/>
    <w:rsid w:val="003365DF"/>
    <w:rsid w:val="0034217F"/>
    <w:rsid w:val="00343C4F"/>
    <w:rsid w:val="00344CC8"/>
    <w:rsid w:val="003451BE"/>
    <w:rsid w:val="00345B84"/>
    <w:rsid w:val="00347F2B"/>
    <w:rsid w:val="00350860"/>
    <w:rsid w:val="00350E2B"/>
    <w:rsid w:val="00351F44"/>
    <w:rsid w:val="00353575"/>
    <w:rsid w:val="00354935"/>
    <w:rsid w:val="00356AB0"/>
    <w:rsid w:val="00356FAC"/>
    <w:rsid w:val="00357F25"/>
    <w:rsid w:val="00362040"/>
    <w:rsid w:val="003645AD"/>
    <w:rsid w:val="00371554"/>
    <w:rsid w:val="0037381E"/>
    <w:rsid w:val="00374940"/>
    <w:rsid w:val="00376F25"/>
    <w:rsid w:val="0038110F"/>
    <w:rsid w:val="00382593"/>
    <w:rsid w:val="003832C7"/>
    <w:rsid w:val="003837E4"/>
    <w:rsid w:val="00384C34"/>
    <w:rsid w:val="00387BAD"/>
    <w:rsid w:val="00394FAF"/>
    <w:rsid w:val="0039643C"/>
    <w:rsid w:val="003A0E12"/>
    <w:rsid w:val="003A1781"/>
    <w:rsid w:val="003A1882"/>
    <w:rsid w:val="003A287C"/>
    <w:rsid w:val="003A3117"/>
    <w:rsid w:val="003A5AEE"/>
    <w:rsid w:val="003A7FE2"/>
    <w:rsid w:val="003B09C5"/>
    <w:rsid w:val="003B0A2D"/>
    <w:rsid w:val="003B4B5F"/>
    <w:rsid w:val="003B4F1C"/>
    <w:rsid w:val="003B52C0"/>
    <w:rsid w:val="003B586E"/>
    <w:rsid w:val="003B700C"/>
    <w:rsid w:val="003C04D1"/>
    <w:rsid w:val="003C261D"/>
    <w:rsid w:val="003C430E"/>
    <w:rsid w:val="003C653D"/>
    <w:rsid w:val="003C7DD5"/>
    <w:rsid w:val="003C7E64"/>
    <w:rsid w:val="003D0C37"/>
    <w:rsid w:val="003D0C99"/>
    <w:rsid w:val="003D4B41"/>
    <w:rsid w:val="003D54F2"/>
    <w:rsid w:val="003D7ACA"/>
    <w:rsid w:val="003E1D16"/>
    <w:rsid w:val="003E272E"/>
    <w:rsid w:val="003E4924"/>
    <w:rsid w:val="003E563A"/>
    <w:rsid w:val="003E60AB"/>
    <w:rsid w:val="003F05F3"/>
    <w:rsid w:val="003F42D8"/>
    <w:rsid w:val="003F592E"/>
    <w:rsid w:val="003F5E34"/>
    <w:rsid w:val="003F618E"/>
    <w:rsid w:val="004002DC"/>
    <w:rsid w:val="00400F19"/>
    <w:rsid w:val="00401F95"/>
    <w:rsid w:val="004034D8"/>
    <w:rsid w:val="00404163"/>
    <w:rsid w:val="00410B41"/>
    <w:rsid w:val="0041340E"/>
    <w:rsid w:val="00413592"/>
    <w:rsid w:val="00414461"/>
    <w:rsid w:val="00415AE8"/>
    <w:rsid w:val="00425C16"/>
    <w:rsid w:val="00434D64"/>
    <w:rsid w:val="00436F23"/>
    <w:rsid w:val="004373E0"/>
    <w:rsid w:val="00437452"/>
    <w:rsid w:val="00440A55"/>
    <w:rsid w:val="00440F25"/>
    <w:rsid w:val="00442919"/>
    <w:rsid w:val="00442DDF"/>
    <w:rsid w:val="00443EC6"/>
    <w:rsid w:val="004576F8"/>
    <w:rsid w:val="0045794A"/>
    <w:rsid w:val="00457B72"/>
    <w:rsid w:val="00462BD1"/>
    <w:rsid w:val="004634C7"/>
    <w:rsid w:val="004644DF"/>
    <w:rsid w:val="00464FDF"/>
    <w:rsid w:val="004659A7"/>
    <w:rsid w:val="00466583"/>
    <w:rsid w:val="004672DF"/>
    <w:rsid w:val="0047080E"/>
    <w:rsid w:val="00471FCB"/>
    <w:rsid w:val="0047326A"/>
    <w:rsid w:val="00474874"/>
    <w:rsid w:val="00475377"/>
    <w:rsid w:val="00476949"/>
    <w:rsid w:val="00476981"/>
    <w:rsid w:val="00481A66"/>
    <w:rsid w:val="00485B8C"/>
    <w:rsid w:val="00485BF8"/>
    <w:rsid w:val="00486C43"/>
    <w:rsid w:val="004870CD"/>
    <w:rsid w:val="004910C6"/>
    <w:rsid w:val="00491476"/>
    <w:rsid w:val="004936EC"/>
    <w:rsid w:val="0049570C"/>
    <w:rsid w:val="004A06DE"/>
    <w:rsid w:val="004A20D6"/>
    <w:rsid w:val="004A7E50"/>
    <w:rsid w:val="004B281E"/>
    <w:rsid w:val="004B3973"/>
    <w:rsid w:val="004C3352"/>
    <w:rsid w:val="004C447F"/>
    <w:rsid w:val="004C5196"/>
    <w:rsid w:val="004D1906"/>
    <w:rsid w:val="004D1CED"/>
    <w:rsid w:val="004D22F0"/>
    <w:rsid w:val="004D3A12"/>
    <w:rsid w:val="004E15FA"/>
    <w:rsid w:val="004E19AF"/>
    <w:rsid w:val="004F46F2"/>
    <w:rsid w:val="004F5951"/>
    <w:rsid w:val="004F67A4"/>
    <w:rsid w:val="005009B5"/>
    <w:rsid w:val="00500BDF"/>
    <w:rsid w:val="005025D9"/>
    <w:rsid w:val="0051115C"/>
    <w:rsid w:val="005139D9"/>
    <w:rsid w:val="00513CD7"/>
    <w:rsid w:val="00515BE3"/>
    <w:rsid w:val="0051685F"/>
    <w:rsid w:val="0051686B"/>
    <w:rsid w:val="005212C7"/>
    <w:rsid w:val="00525293"/>
    <w:rsid w:val="00526DBF"/>
    <w:rsid w:val="00527F37"/>
    <w:rsid w:val="00533A88"/>
    <w:rsid w:val="00534F16"/>
    <w:rsid w:val="00537B21"/>
    <w:rsid w:val="00540F7F"/>
    <w:rsid w:val="0054176A"/>
    <w:rsid w:val="005425B0"/>
    <w:rsid w:val="005428E8"/>
    <w:rsid w:val="00543A81"/>
    <w:rsid w:val="00547AD4"/>
    <w:rsid w:val="00550AEC"/>
    <w:rsid w:val="00551304"/>
    <w:rsid w:val="0055196C"/>
    <w:rsid w:val="00552336"/>
    <w:rsid w:val="00552BDC"/>
    <w:rsid w:val="00552E03"/>
    <w:rsid w:val="00553D47"/>
    <w:rsid w:val="0055499B"/>
    <w:rsid w:val="005557C0"/>
    <w:rsid w:val="005562D1"/>
    <w:rsid w:val="00557737"/>
    <w:rsid w:val="00557D5C"/>
    <w:rsid w:val="0056070E"/>
    <w:rsid w:val="0056085C"/>
    <w:rsid w:val="005613C0"/>
    <w:rsid w:val="00563419"/>
    <w:rsid w:val="00564CF4"/>
    <w:rsid w:val="005664EF"/>
    <w:rsid w:val="00566BD2"/>
    <w:rsid w:val="00566CFE"/>
    <w:rsid w:val="00570782"/>
    <w:rsid w:val="00570F7B"/>
    <w:rsid w:val="00571137"/>
    <w:rsid w:val="00571BE3"/>
    <w:rsid w:val="0057248C"/>
    <w:rsid w:val="0057749F"/>
    <w:rsid w:val="00581179"/>
    <w:rsid w:val="00581756"/>
    <w:rsid w:val="00584821"/>
    <w:rsid w:val="0059171D"/>
    <w:rsid w:val="00595BCF"/>
    <w:rsid w:val="005971FB"/>
    <w:rsid w:val="00597BEC"/>
    <w:rsid w:val="005A16F0"/>
    <w:rsid w:val="005A365C"/>
    <w:rsid w:val="005A67E0"/>
    <w:rsid w:val="005A70D4"/>
    <w:rsid w:val="005B0BC5"/>
    <w:rsid w:val="005B346F"/>
    <w:rsid w:val="005B36AF"/>
    <w:rsid w:val="005B5534"/>
    <w:rsid w:val="005C1C5B"/>
    <w:rsid w:val="005C3780"/>
    <w:rsid w:val="005C7A33"/>
    <w:rsid w:val="005D017A"/>
    <w:rsid w:val="005D39F1"/>
    <w:rsid w:val="005D4BA1"/>
    <w:rsid w:val="005D5EFB"/>
    <w:rsid w:val="005D74A6"/>
    <w:rsid w:val="005E1C7A"/>
    <w:rsid w:val="005E2C05"/>
    <w:rsid w:val="005E4866"/>
    <w:rsid w:val="005E4B58"/>
    <w:rsid w:val="005E555D"/>
    <w:rsid w:val="005E579E"/>
    <w:rsid w:val="005E6707"/>
    <w:rsid w:val="005F20C0"/>
    <w:rsid w:val="005F241D"/>
    <w:rsid w:val="005F29D9"/>
    <w:rsid w:val="005F5D15"/>
    <w:rsid w:val="006003D2"/>
    <w:rsid w:val="0060200A"/>
    <w:rsid w:val="006022D3"/>
    <w:rsid w:val="00603832"/>
    <w:rsid w:val="00603D4C"/>
    <w:rsid w:val="0061083F"/>
    <w:rsid w:val="006108A1"/>
    <w:rsid w:val="00610A71"/>
    <w:rsid w:val="00610C09"/>
    <w:rsid w:val="00612189"/>
    <w:rsid w:val="00612599"/>
    <w:rsid w:val="006130E2"/>
    <w:rsid w:val="0061589F"/>
    <w:rsid w:val="00620AA1"/>
    <w:rsid w:val="00621FE9"/>
    <w:rsid w:val="00622050"/>
    <w:rsid w:val="0062481C"/>
    <w:rsid w:val="00626711"/>
    <w:rsid w:val="006309C2"/>
    <w:rsid w:val="00630A17"/>
    <w:rsid w:val="00631708"/>
    <w:rsid w:val="00631A1D"/>
    <w:rsid w:val="00635265"/>
    <w:rsid w:val="006358D0"/>
    <w:rsid w:val="00637BD2"/>
    <w:rsid w:val="0064250F"/>
    <w:rsid w:val="00642693"/>
    <w:rsid w:val="00642D12"/>
    <w:rsid w:val="0064418E"/>
    <w:rsid w:val="00644B55"/>
    <w:rsid w:val="00645D62"/>
    <w:rsid w:val="0064612F"/>
    <w:rsid w:val="00650C9F"/>
    <w:rsid w:val="00651342"/>
    <w:rsid w:val="00651B3E"/>
    <w:rsid w:val="0065396C"/>
    <w:rsid w:val="00653A8C"/>
    <w:rsid w:val="006575A7"/>
    <w:rsid w:val="006613D0"/>
    <w:rsid w:val="006615CD"/>
    <w:rsid w:val="00662F04"/>
    <w:rsid w:val="00664DFE"/>
    <w:rsid w:val="006664CC"/>
    <w:rsid w:val="0067227F"/>
    <w:rsid w:val="006734E3"/>
    <w:rsid w:val="006757E5"/>
    <w:rsid w:val="006760A9"/>
    <w:rsid w:val="00676126"/>
    <w:rsid w:val="006826B6"/>
    <w:rsid w:val="00683093"/>
    <w:rsid w:val="00684F80"/>
    <w:rsid w:val="006909C6"/>
    <w:rsid w:val="00690C3D"/>
    <w:rsid w:val="0069270F"/>
    <w:rsid w:val="00692A6F"/>
    <w:rsid w:val="00695F5F"/>
    <w:rsid w:val="006961A9"/>
    <w:rsid w:val="006A63E5"/>
    <w:rsid w:val="006A7540"/>
    <w:rsid w:val="006B1D1F"/>
    <w:rsid w:val="006B339B"/>
    <w:rsid w:val="006B34F5"/>
    <w:rsid w:val="006B5394"/>
    <w:rsid w:val="006B6C6C"/>
    <w:rsid w:val="006C1887"/>
    <w:rsid w:val="006C1D28"/>
    <w:rsid w:val="006C2E98"/>
    <w:rsid w:val="006C3CC7"/>
    <w:rsid w:val="006C4F5B"/>
    <w:rsid w:val="006C727C"/>
    <w:rsid w:val="006C74A9"/>
    <w:rsid w:val="006D61AE"/>
    <w:rsid w:val="006D740F"/>
    <w:rsid w:val="006E49F5"/>
    <w:rsid w:val="006E4BC5"/>
    <w:rsid w:val="00705090"/>
    <w:rsid w:val="00705B65"/>
    <w:rsid w:val="007066A3"/>
    <w:rsid w:val="00706918"/>
    <w:rsid w:val="00706BAE"/>
    <w:rsid w:val="00707593"/>
    <w:rsid w:val="007127F7"/>
    <w:rsid w:val="00713F31"/>
    <w:rsid w:val="00713FD5"/>
    <w:rsid w:val="00715109"/>
    <w:rsid w:val="00715887"/>
    <w:rsid w:val="00717154"/>
    <w:rsid w:val="00720087"/>
    <w:rsid w:val="007203BC"/>
    <w:rsid w:val="00720424"/>
    <w:rsid w:val="00720D62"/>
    <w:rsid w:val="007222E0"/>
    <w:rsid w:val="00722E75"/>
    <w:rsid w:val="00724D65"/>
    <w:rsid w:val="00725396"/>
    <w:rsid w:val="00726522"/>
    <w:rsid w:val="00726B2F"/>
    <w:rsid w:val="00726D00"/>
    <w:rsid w:val="0073190E"/>
    <w:rsid w:val="00731A8E"/>
    <w:rsid w:val="00736075"/>
    <w:rsid w:val="0073617E"/>
    <w:rsid w:val="007365B0"/>
    <w:rsid w:val="0074060B"/>
    <w:rsid w:val="007412B2"/>
    <w:rsid w:val="00743E4F"/>
    <w:rsid w:val="00744084"/>
    <w:rsid w:val="007452CA"/>
    <w:rsid w:val="00746881"/>
    <w:rsid w:val="00750F2D"/>
    <w:rsid w:val="00751679"/>
    <w:rsid w:val="007528A0"/>
    <w:rsid w:val="007530BB"/>
    <w:rsid w:val="00753205"/>
    <w:rsid w:val="00754E5D"/>
    <w:rsid w:val="00754ECA"/>
    <w:rsid w:val="00755DE6"/>
    <w:rsid w:val="0076196F"/>
    <w:rsid w:val="00762E17"/>
    <w:rsid w:val="00763533"/>
    <w:rsid w:val="00763673"/>
    <w:rsid w:val="00763BC9"/>
    <w:rsid w:val="00764995"/>
    <w:rsid w:val="00771D86"/>
    <w:rsid w:val="00771EAD"/>
    <w:rsid w:val="00773451"/>
    <w:rsid w:val="007748F4"/>
    <w:rsid w:val="00774AD9"/>
    <w:rsid w:val="00781FAE"/>
    <w:rsid w:val="00784429"/>
    <w:rsid w:val="00787AE2"/>
    <w:rsid w:val="00790425"/>
    <w:rsid w:val="00793748"/>
    <w:rsid w:val="00793C49"/>
    <w:rsid w:val="00795FA4"/>
    <w:rsid w:val="007A0C4F"/>
    <w:rsid w:val="007A1748"/>
    <w:rsid w:val="007A31C5"/>
    <w:rsid w:val="007A5F19"/>
    <w:rsid w:val="007A68D5"/>
    <w:rsid w:val="007A6998"/>
    <w:rsid w:val="007A7314"/>
    <w:rsid w:val="007B024A"/>
    <w:rsid w:val="007B02F4"/>
    <w:rsid w:val="007B11D4"/>
    <w:rsid w:val="007C03AD"/>
    <w:rsid w:val="007C134C"/>
    <w:rsid w:val="007C2FF1"/>
    <w:rsid w:val="007C3486"/>
    <w:rsid w:val="007C3A3E"/>
    <w:rsid w:val="007C6315"/>
    <w:rsid w:val="007D0F9B"/>
    <w:rsid w:val="007D138F"/>
    <w:rsid w:val="007D20E5"/>
    <w:rsid w:val="007D2148"/>
    <w:rsid w:val="007D3784"/>
    <w:rsid w:val="007E17F3"/>
    <w:rsid w:val="007E1E39"/>
    <w:rsid w:val="007E2D41"/>
    <w:rsid w:val="007E31A2"/>
    <w:rsid w:val="007F0D58"/>
    <w:rsid w:val="007F2E18"/>
    <w:rsid w:val="007F460C"/>
    <w:rsid w:val="007F72BB"/>
    <w:rsid w:val="007F77A3"/>
    <w:rsid w:val="00800773"/>
    <w:rsid w:val="00800D93"/>
    <w:rsid w:val="008013CD"/>
    <w:rsid w:val="00803004"/>
    <w:rsid w:val="008034E6"/>
    <w:rsid w:val="00804503"/>
    <w:rsid w:val="00805762"/>
    <w:rsid w:val="00805F2D"/>
    <w:rsid w:val="00807200"/>
    <w:rsid w:val="00807715"/>
    <w:rsid w:val="00807AD5"/>
    <w:rsid w:val="00807B65"/>
    <w:rsid w:val="00807D4E"/>
    <w:rsid w:val="008112C6"/>
    <w:rsid w:val="008151B6"/>
    <w:rsid w:val="008168ED"/>
    <w:rsid w:val="00820DBB"/>
    <w:rsid w:val="00822DAC"/>
    <w:rsid w:val="00830366"/>
    <w:rsid w:val="008309EE"/>
    <w:rsid w:val="0083318E"/>
    <w:rsid w:val="008352BB"/>
    <w:rsid w:val="008364EE"/>
    <w:rsid w:val="00841A8A"/>
    <w:rsid w:val="008432BA"/>
    <w:rsid w:val="00843BE3"/>
    <w:rsid w:val="00844805"/>
    <w:rsid w:val="00844B93"/>
    <w:rsid w:val="008453CC"/>
    <w:rsid w:val="00845452"/>
    <w:rsid w:val="0084710D"/>
    <w:rsid w:val="00850BB7"/>
    <w:rsid w:val="00852755"/>
    <w:rsid w:val="00852C11"/>
    <w:rsid w:val="00857A1F"/>
    <w:rsid w:val="008602EB"/>
    <w:rsid w:val="008621BA"/>
    <w:rsid w:val="008703A1"/>
    <w:rsid w:val="008750E4"/>
    <w:rsid w:val="00876D89"/>
    <w:rsid w:val="00877C8D"/>
    <w:rsid w:val="008808B5"/>
    <w:rsid w:val="00883838"/>
    <w:rsid w:val="00884291"/>
    <w:rsid w:val="00886CFA"/>
    <w:rsid w:val="0088737E"/>
    <w:rsid w:val="00887685"/>
    <w:rsid w:val="00890183"/>
    <w:rsid w:val="00890256"/>
    <w:rsid w:val="00893C24"/>
    <w:rsid w:val="0089547B"/>
    <w:rsid w:val="008958FD"/>
    <w:rsid w:val="00896520"/>
    <w:rsid w:val="008A03EC"/>
    <w:rsid w:val="008A1E6F"/>
    <w:rsid w:val="008A497B"/>
    <w:rsid w:val="008A4A84"/>
    <w:rsid w:val="008A4F8E"/>
    <w:rsid w:val="008A6BB9"/>
    <w:rsid w:val="008A7184"/>
    <w:rsid w:val="008B2C03"/>
    <w:rsid w:val="008B373B"/>
    <w:rsid w:val="008B48F0"/>
    <w:rsid w:val="008B6821"/>
    <w:rsid w:val="008B6F32"/>
    <w:rsid w:val="008C2138"/>
    <w:rsid w:val="008C2CF5"/>
    <w:rsid w:val="008C7FE4"/>
    <w:rsid w:val="008D07F2"/>
    <w:rsid w:val="008D3E3A"/>
    <w:rsid w:val="008D427B"/>
    <w:rsid w:val="008D562D"/>
    <w:rsid w:val="008E248A"/>
    <w:rsid w:val="008E2EC5"/>
    <w:rsid w:val="008E4046"/>
    <w:rsid w:val="008F0E66"/>
    <w:rsid w:val="008F0E9E"/>
    <w:rsid w:val="008F134C"/>
    <w:rsid w:val="008F435A"/>
    <w:rsid w:val="008F624C"/>
    <w:rsid w:val="008F6726"/>
    <w:rsid w:val="008F78F0"/>
    <w:rsid w:val="0090054D"/>
    <w:rsid w:val="00901E56"/>
    <w:rsid w:val="00902923"/>
    <w:rsid w:val="00903C74"/>
    <w:rsid w:val="009040A0"/>
    <w:rsid w:val="0090594D"/>
    <w:rsid w:val="0090678C"/>
    <w:rsid w:val="00906A47"/>
    <w:rsid w:val="00906EC5"/>
    <w:rsid w:val="009115BF"/>
    <w:rsid w:val="00915315"/>
    <w:rsid w:val="009157C4"/>
    <w:rsid w:val="0091600C"/>
    <w:rsid w:val="0091655C"/>
    <w:rsid w:val="009206F7"/>
    <w:rsid w:val="00922B83"/>
    <w:rsid w:val="00924317"/>
    <w:rsid w:val="00925B84"/>
    <w:rsid w:val="00925D13"/>
    <w:rsid w:val="0092744D"/>
    <w:rsid w:val="009309C8"/>
    <w:rsid w:val="00933654"/>
    <w:rsid w:val="00933865"/>
    <w:rsid w:val="00934A82"/>
    <w:rsid w:val="00936A68"/>
    <w:rsid w:val="00937A57"/>
    <w:rsid w:val="00937C67"/>
    <w:rsid w:val="009414D3"/>
    <w:rsid w:val="0094399F"/>
    <w:rsid w:val="009452AA"/>
    <w:rsid w:val="00947AFD"/>
    <w:rsid w:val="00950815"/>
    <w:rsid w:val="00950C93"/>
    <w:rsid w:val="00954330"/>
    <w:rsid w:val="00954B4D"/>
    <w:rsid w:val="00955308"/>
    <w:rsid w:val="00955822"/>
    <w:rsid w:val="00955D20"/>
    <w:rsid w:val="0095641C"/>
    <w:rsid w:val="009602D3"/>
    <w:rsid w:val="00960EEE"/>
    <w:rsid w:val="009635F4"/>
    <w:rsid w:val="0096440A"/>
    <w:rsid w:val="0096477D"/>
    <w:rsid w:val="00970625"/>
    <w:rsid w:val="00971E45"/>
    <w:rsid w:val="00972426"/>
    <w:rsid w:val="009733BC"/>
    <w:rsid w:val="00973D89"/>
    <w:rsid w:val="00975E42"/>
    <w:rsid w:val="00976540"/>
    <w:rsid w:val="0097694C"/>
    <w:rsid w:val="009772C0"/>
    <w:rsid w:val="00977E23"/>
    <w:rsid w:val="00977FBC"/>
    <w:rsid w:val="00980EF3"/>
    <w:rsid w:val="0098330A"/>
    <w:rsid w:val="009843CA"/>
    <w:rsid w:val="0098585A"/>
    <w:rsid w:val="009910AF"/>
    <w:rsid w:val="009A180A"/>
    <w:rsid w:val="009A1E1F"/>
    <w:rsid w:val="009A343E"/>
    <w:rsid w:val="009A78D0"/>
    <w:rsid w:val="009A7AA4"/>
    <w:rsid w:val="009B0606"/>
    <w:rsid w:val="009B1E6A"/>
    <w:rsid w:val="009B32D3"/>
    <w:rsid w:val="009B35E7"/>
    <w:rsid w:val="009B4011"/>
    <w:rsid w:val="009B4FF9"/>
    <w:rsid w:val="009B64C3"/>
    <w:rsid w:val="009C042D"/>
    <w:rsid w:val="009C1E21"/>
    <w:rsid w:val="009C26E8"/>
    <w:rsid w:val="009C2D93"/>
    <w:rsid w:val="009C369B"/>
    <w:rsid w:val="009C513F"/>
    <w:rsid w:val="009C6239"/>
    <w:rsid w:val="009C62B0"/>
    <w:rsid w:val="009C7D60"/>
    <w:rsid w:val="009D010B"/>
    <w:rsid w:val="009D06D0"/>
    <w:rsid w:val="009D2AA8"/>
    <w:rsid w:val="009D5933"/>
    <w:rsid w:val="009E109C"/>
    <w:rsid w:val="009E2520"/>
    <w:rsid w:val="009E2550"/>
    <w:rsid w:val="009E3652"/>
    <w:rsid w:val="009F1024"/>
    <w:rsid w:val="009F23F6"/>
    <w:rsid w:val="009F3D19"/>
    <w:rsid w:val="009F60BD"/>
    <w:rsid w:val="00A00477"/>
    <w:rsid w:val="00A02E56"/>
    <w:rsid w:val="00A07D88"/>
    <w:rsid w:val="00A12303"/>
    <w:rsid w:val="00A12A7A"/>
    <w:rsid w:val="00A13BC3"/>
    <w:rsid w:val="00A149C3"/>
    <w:rsid w:val="00A2017C"/>
    <w:rsid w:val="00A22215"/>
    <w:rsid w:val="00A22849"/>
    <w:rsid w:val="00A2376D"/>
    <w:rsid w:val="00A267C6"/>
    <w:rsid w:val="00A308E8"/>
    <w:rsid w:val="00A31712"/>
    <w:rsid w:val="00A32EFC"/>
    <w:rsid w:val="00A339ED"/>
    <w:rsid w:val="00A370A8"/>
    <w:rsid w:val="00A40D45"/>
    <w:rsid w:val="00A45DB8"/>
    <w:rsid w:val="00A465A6"/>
    <w:rsid w:val="00A52DE5"/>
    <w:rsid w:val="00A54225"/>
    <w:rsid w:val="00A56AB8"/>
    <w:rsid w:val="00A6252E"/>
    <w:rsid w:val="00A6270B"/>
    <w:rsid w:val="00A63CDA"/>
    <w:rsid w:val="00A649D0"/>
    <w:rsid w:val="00A702FC"/>
    <w:rsid w:val="00A7193C"/>
    <w:rsid w:val="00A768DD"/>
    <w:rsid w:val="00A774A7"/>
    <w:rsid w:val="00A77866"/>
    <w:rsid w:val="00A81C54"/>
    <w:rsid w:val="00A8292A"/>
    <w:rsid w:val="00A955CA"/>
    <w:rsid w:val="00A95C62"/>
    <w:rsid w:val="00AA0D7E"/>
    <w:rsid w:val="00AA25D6"/>
    <w:rsid w:val="00AA511A"/>
    <w:rsid w:val="00AB2ADA"/>
    <w:rsid w:val="00AB35A8"/>
    <w:rsid w:val="00AB54D5"/>
    <w:rsid w:val="00AB5A3D"/>
    <w:rsid w:val="00AB6B77"/>
    <w:rsid w:val="00AC245E"/>
    <w:rsid w:val="00AC4CBB"/>
    <w:rsid w:val="00AC55BC"/>
    <w:rsid w:val="00AD085A"/>
    <w:rsid w:val="00AD67D2"/>
    <w:rsid w:val="00AD6E2F"/>
    <w:rsid w:val="00AE2BCF"/>
    <w:rsid w:val="00AE3A32"/>
    <w:rsid w:val="00AE6E09"/>
    <w:rsid w:val="00AE777F"/>
    <w:rsid w:val="00AF12E4"/>
    <w:rsid w:val="00AF1E5F"/>
    <w:rsid w:val="00AF45C4"/>
    <w:rsid w:val="00B02465"/>
    <w:rsid w:val="00B027EB"/>
    <w:rsid w:val="00B0303C"/>
    <w:rsid w:val="00B06A6F"/>
    <w:rsid w:val="00B106FE"/>
    <w:rsid w:val="00B1193A"/>
    <w:rsid w:val="00B11A94"/>
    <w:rsid w:val="00B12D79"/>
    <w:rsid w:val="00B1410B"/>
    <w:rsid w:val="00B14902"/>
    <w:rsid w:val="00B14D78"/>
    <w:rsid w:val="00B16A75"/>
    <w:rsid w:val="00B2085D"/>
    <w:rsid w:val="00B22559"/>
    <w:rsid w:val="00B23328"/>
    <w:rsid w:val="00B3119E"/>
    <w:rsid w:val="00B31E88"/>
    <w:rsid w:val="00B3269C"/>
    <w:rsid w:val="00B337D3"/>
    <w:rsid w:val="00B341F2"/>
    <w:rsid w:val="00B3593E"/>
    <w:rsid w:val="00B359E7"/>
    <w:rsid w:val="00B36494"/>
    <w:rsid w:val="00B411C6"/>
    <w:rsid w:val="00B43E4F"/>
    <w:rsid w:val="00B44843"/>
    <w:rsid w:val="00B44E83"/>
    <w:rsid w:val="00B50451"/>
    <w:rsid w:val="00B5050D"/>
    <w:rsid w:val="00B50FA7"/>
    <w:rsid w:val="00B51E89"/>
    <w:rsid w:val="00B55428"/>
    <w:rsid w:val="00B5560C"/>
    <w:rsid w:val="00B56382"/>
    <w:rsid w:val="00B633F2"/>
    <w:rsid w:val="00B65CA2"/>
    <w:rsid w:val="00B701DC"/>
    <w:rsid w:val="00B70A02"/>
    <w:rsid w:val="00B7764A"/>
    <w:rsid w:val="00B81749"/>
    <w:rsid w:val="00B81A11"/>
    <w:rsid w:val="00B81DBC"/>
    <w:rsid w:val="00B84840"/>
    <w:rsid w:val="00B877A7"/>
    <w:rsid w:val="00B933FF"/>
    <w:rsid w:val="00B9507E"/>
    <w:rsid w:val="00B958FA"/>
    <w:rsid w:val="00B96215"/>
    <w:rsid w:val="00BA0063"/>
    <w:rsid w:val="00BA0F45"/>
    <w:rsid w:val="00BA3F8A"/>
    <w:rsid w:val="00BA4233"/>
    <w:rsid w:val="00BC007C"/>
    <w:rsid w:val="00BC1365"/>
    <w:rsid w:val="00BC37B6"/>
    <w:rsid w:val="00BC4821"/>
    <w:rsid w:val="00BC6D83"/>
    <w:rsid w:val="00BC7C66"/>
    <w:rsid w:val="00BD76D5"/>
    <w:rsid w:val="00BD7994"/>
    <w:rsid w:val="00BE0C98"/>
    <w:rsid w:val="00BE11CF"/>
    <w:rsid w:val="00BE1F5A"/>
    <w:rsid w:val="00BE2F34"/>
    <w:rsid w:val="00BE3279"/>
    <w:rsid w:val="00BE468C"/>
    <w:rsid w:val="00BE54EA"/>
    <w:rsid w:val="00BF1D4C"/>
    <w:rsid w:val="00BF2FDC"/>
    <w:rsid w:val="00BF373F"/>
    <w:rsid w:val="00BF4129"/>
    <w:rsid w:val="00BF52BF"/>
    <w:rsid w:val="00BF6313"/>
    <w:rsid w:val="00C00206"/>
    <w:rsid w:val="00C039BC"/>
    <w:rsid w:val="00C04DAB"/>
    <w:rsid w:val="00C052E2"/>
    <w:rsid w:val="00C07512"/>
    <w:rsid w:val="00C119A8"/>
    <w:rsid w:val="00C163A7"/>
    <w:rsid w:val="00C16751"/>
    <w:rsid w:val="00C16B20"/>
    <w:rsid w:val="00C16C1A"/>
    <w:rsid w:val="00C22C9E"/>
    <w:rsid w:val="00C23F3D"/>
    <w:rsid w:val="00C27C01"/>
    <w:rsid w:val="00C33129"/>
    <w:rsid w:val="00C33F37"/>
    <w:rsid w:val="00C348F8"/>
    <w:rsid w:val="00C34907"/>
    <w:rsid w:val="00C3595F"/>
    <w:rsid w:val="00C3722D"/>
    <w:rsid w:val="00C37318"/>
    <w:rsid w:val="00C37B17"/>
    <w:rsid w:val="00C40E00"/>
    <w:rsid w:val="00C40FB6"/>
    <w:rsid w:val="00C4302D"/>
    <w:rsid w:val="00C47248"/>
    <w:rsid w:val="00C509C3"/>
    <w:rsid w:val="00C50D81"/>
    <w:rsid w:val="00C52357"/>
    <w:rsid w:val="00C5266E"/>
    <w:rsid w:val="00C53198"/>
    <w:rsid w:val="00C57F36"/>
    <w:rsid w:val="00C61A8A"/>
    <w:rsid w:val="00C63BAB"/>
    <w:rsid w:val="00C63FCC"/>
    <w:rsid w:val="00C64622"/>
    <w:rsid w:val="00C66209"/>
    <w:rsid w:val="00C66EBD"/>
    <w:rsid w:val="00C679A7"/>
    <w:rsid w:val="00C70A09"/>
    <w:rsid w:val="00C71CF8"/>
    <w:rsid w:val="00C72A7B"/>
    <w:rsid w:val="00C73CDD"/>
    <w:rsid w:val="00C74813"/>
    <w:rsid w:val="00C75DAF"/>
    <w:rsid w:val="00C763FA"/>
    <w:rsid w:val="00C80A25"/>
    <w:rsid w:val="00C81D1A"/>
    <w:rsid w:val="00C839C0"/>
    <w:rsid w:val="00C83AF9"/>
    <w:rsid w:val="00C83DD3"/>
    <w:rsid w:val="00C84DD5"/>
    <w:rsid w:val="00C85870"/>
    <w:rsid w:val="00C877F6"/>
    <w:rsid w:val="00C901AE"/>
    <w:rsid w:val="00C91159"/>
    <w:rsid w:val="00C924B0"/>
    <w:rsid w:val="00C968BE"/>
    <w:rsid w:val="00CA1C40"/>
    <w:rsid w:val="00CA452A"/>
    <w:rsid w:val="00CB1D32"/>
    <w:rsid w:val="00CB335B"/>
    <w:rsid w:val="00CB3FAA"/>
    <w:rsid w:val="00CB5CBD"/>
    <w:rsid w:val="00CB6E1D"/>
    <w:rsid w:val="00CC1365"/>
    <w:rsid w:val="00CC1988"/>
    <w:rsid w:val="00CC250A"/>
    <w:rsid w:val="00CC4885"/>
    <w:rsid w:val="00CC7012"/>
    <w:rsid w:val="00CD202B"/>
    <w:rsid w:val="00CD260A"/>
    <w:rsid w:val="00CE0068"/>
    <w:rsid w:val="00CE385B"/>
    <w:rsid w:val="00CE7088"/>
    <w:rsid w:val="00CF0CBB"/>
    <w:rsid w:val="00CF1332"/>
    <w:rsid w:val="00CF177E"/>
    <w:rsid w:val="00CF2ABF"/>
    <w:rsid w:val="00CF3840"/>
    <w:rsid w:val="00CF3A1A"/>
    <w:rsid w:val="00CF4DD5"/>
    <w:rsid w:val="00CF62FF"/>
    <w:rsid w:val="00CF64CA"/>
    <w:rsid w:val="00D01ACC"/>
    <w:rsid w:val="00D01B0E"/>
    <w:rsid w:val="00D022E6"/>
    <w:rsid w:val="00D04F17"/>
    <w:rsid w:val="00D05217"/>
    <w:rsid w:val="00D06800"/>
    <w:rsid w:val="00D0752E"/>
    <w:rsid w:val="00D10DEC"/>
    <w:rsid w:val="00D1144C"/>
    <w:rsid w:val="00D14F3D"/>
    <w:rsid w:val="00D15716"/>
    <w:rsid w:val="00D17C37"/>
    <w:rsid w:val="00D204AB"/>
    <w:rsid w:val="00D204E6"/>
    <w:rsid w:val="00D20E97"/>
    <w:rsid w:val="00D2351F"/>
    <w:rsid w:val="00D23679"/>
    <w:rsid w:val="00D251FC"/>
    <w:rsid w:val="00D25C5B"/>
    <w:rsid w:val="00D269EC"/>
    <w:rsid w:val="00D27E3C"/>
    <w:rsid w:val="00D316C0"/>
    <w:rsid w:val="00D32342"/>
    <w:rsid w:val="00D33929"/>
    <w:rsid w:val="00D343C8"/>
    <w:rsid w:val="00D34D93"/>
    <w:rsid w:val="00D35C09"/>
    <w:rsid w:val="00D36023"/>
    <w:rsid w:val="00D405B5"/>
    <w:rsid w:val="00D40890"/>
    <w:rsid w:val="00D41724"/>
    <w:rsid w:val="00D41745"/>
    <w:rsid w:val="00D42458"/>
    <w:rsid w:val="00D4246F"/>
    <w:rsid w:val="00D42FFC"/>
    <w:rsid w:val="00D43460"/>
    <w:rsid w:val="00D44739"/>
    <w:rsid w:val="00D47E44"/>
    <w:rsid w:val="00D51AAB"/>
    <w:rsid w:val="00D54001"/>
    <w:rsid w:val="00D60257"/>
    <w:rsid w:val="00D611CE"/>
    <w:rsid w:val="00D611F2"/>
    <w:rsid w:val="00D62291"/>
    <w:rsid w:val="00D62557"/>
    <w:rsid w:val="00D6368C"/>
    <w:rsid w:val="00D65E6F"/>
    <w:rsid w:val="00D67852"/>
    <w:rsid w:val="00D67C58"/>
    <w:rsid w:val="00D72109"/>
    <w:rsid w:val="00D7238B"/>
    <w:rsid w:val="00D72BAE"/>
    <w:rsid w:val="00D74468"/>
    <w:rsid w:val="00D75260"/>
    <w:rsid w:val="00D77131"/>
    <w:rsid w:val="00D776C2"/>
    <w:rsid w:val="00D77AB8"/>
    <w:rsid w:val="00D80335"/>
    <w:rsid w:val="00D81BDB"/>
    <w:rsid w:val="00D82C8D"/>
    <w:rsid w:val="00D83D08"/>
    <w:rsid w:val="00D85837"/>
    <w:rsid w:val="00D86F57"/>
    <w:rsid w:val="00D87207"/>
    <w:rsid w:val="00D906D9"/>
    <w:rsid w:val="00D92638"/>
    <w:rsid w:val="00D92855"/>
    <w:rsid w:val="00D94F5C"/>
    <w:rsid w:val="00D950A5"/>
    <w:rsid w:val="00D97534"/>
    <w:rsid w:val="00D97728"/>
    <w:rsid w:val="00DA2497"/>
    <w:rsid w:val="00DA2AE7"/>
    <w:rsid w:val="00DA388A"/>
    <w:rsid w:val="00DA3F0F"/>
    <w:rsid w:val="00DA61C1"/>
    <w:rsid w:val="00DA6871"/>
    <w:rsid w:val="00DB349C"/>
    <w:rsid w:val="00DC1572"/>
    <w:rsid w:val="00DC232B"/>
    <w:rsid w:val="00DC73E4"/>
    <w:rsid w:val="00DC7A38"/>
    <w:rsid w:val="00DD07B6"/>
    <w:rsid w:val="00DD0B39"/>
    <w:rsid w:val="00DD154B"/>
    <w:rsid w:val="00DD1BCD"/>
    <w:rsid w:val="00DD2245"/>
    <w:rsid w:val="00DD26C5"/>
    <w:rsid w:val="00DE07BE"/>
    <w:rsid w:val="00DE51F9"/>
    <w:rsid w:val="00DE5811"/>
    <w:rsid w:val="00DE61AF"/>
    <w:rsid w:val="00E00CB3"/>
    <w:rsid w:val="00E00D65"/>
    <w:rsid w:val="00E00F56"/>
    <w:rsid w:val="00E02A0B"/>
    <w:rsid w:val="00E04067"/>
    <w:rsid w:val="00E069C4"/>
    <w:rsid w:val="00E07569"/>
    <w:rsid w:val="00E14549"/>
    <w:rsid w:val="00E1542C"/>
    <w:rsid w:val="00E176B3"/>
    <w:rsid w:val="00E20851"/>
    <w:rsid w:val="00E21A15"/>
    <w:rsid w:val="00E22B4C"/>
    <w:rsid w:val="00E23263"/>
    <w:rsid w:val="00E24C21"/>
    <w:rsid w:val="00E25C1C"/>
    <w:rsid w:val="00E261C0"/>
    <w:rsid w:val="00E2623F"/>
    <w:rsid w:val="00E27A8B"/>
    <w:rsid w:val="00E33E6D"/>
    <w:rsid w:val="00E347DE"/>
    <w:rsid w:val="00E368FC"/>
    <w:rsid w:val="00E4226A"/>
    <w:rsid w:val="00E42F53"/>
    <w:rsid w:val="00E449A5"/>
    <w:rsid w:val="00E51347"/>
    <w:rsid w:val="00E5164D"/>
    <w:rsid w:val="00E60217"/>
    <w:rsid w:val="00E6071B"/>
    <w:rsid w:val="00E62BA5"/>
    <w:rsid w:val="00E67385"/>
    <w:rsid w:val="00E707FC"/>
    <w:rsid w:val="00E71203"/>
    <w:rsid w:val="00E737D3"/>
    <w:rsid w:val="00E74222"/>
    <w:rsid w:val="00E74299"/>
    <w:rsid w:val="00E758C7"/>
    <w:rsid w:val="00E77365"/>
    <w:rsid w:val="00E810E5"/>
    <w:rsid w:val="00E819BE"/>
    <w:rsid w:val="00E8244E"/>
    <w:rsid w:val="00E83DAD"/>
    <w:rsid w:val="00E846AE"/>
    <w:rsid w:val="00E855B8"/>
    <w:rsid w:val="00E85D95"/>
    <w:rsid w:val="00E87C59"/>
    <w:rsid w:val="00E91027"/>
    <w:rsid w:val="00E93B82"/>
    <w:rsid w:val="00E964DF"/>
    <w:rsid w:val="00E97408"/>
    <w:rsid w:val="00E97C86"/>
    <w:rsid w:val="00EA0BFC"/>
    <w:rsid w:val="00EA3A8E"/>
    <w:rsid w:val="00EA4C02"/>
    <w:rsid w:val="00EA526E"/>
    <w:rsid w:val="00EB4792"/>
    <w:rsid w:val="00EB4E24"/>
    <w:rsid w:val="00EB6EF4"/>
    <w:rsid w:val="00EC04F9"/>
    <w:rsid w:val="00EC0CEF"/>
    <w:rsid w:val="00EC4105"/>
    <w:rsid w:val="00EC7A71"/>
    <w:rsid w:val="00ED07C4"/>
    <w:rsid w:val="00ED1065"/>
    <w:rsid w:val="00ED264B"/>
    <w:rsid w:val="00ED327E"/>
    <w:rsid w:val="00ED3C70"/>
    <w:rsid w:val="00ED466E"/>
    <w:rsid w:val="00ED62AA"/>
    <w:rsid w:val="00EE170F"/>
    <w:rsid w:val="00EE3EBD"/>
    <w:rsid w:val="00EE6B81"/>
    <w:rsid w:val="00EF003B"/>
    <w:rsid w:val="00EF0ACC"/>
    <w:rsid w:val="00EF3671"/>
    <w:rsid w:val="00EF4ADB"/>
    <w:rsid w:val="00F0524D"/>
    <w:rsid w:val="00F07C81"/>
    <w:rsid w:val="00F11EDC"/>
    <w:rsid w:val="00F15C17"/>
    <w:rsid w:val="00F16C8B"/>
    <w:rsid w:val="00F200D0"/>
    <w:rsid w:val="00F20B39"/>
    <w:rsid w:val="00F21058"/>
    <w:rsid w:val="00F21844"/>
    <w:rsid w:val="00F236ED"/>
    <w:rsid w:val="00F23F5B"/>
    <w:rsid w:val="00F24692"/>
    <w:rsid w:val="00F25354"/>
    <w:rsid w:val="00F266D1"/>
    <w:rsid w:val="00F30637"/>
    <w:rsid w:val="00F32259"/>
    <w:rsid w:val="00F326D7"/>
    <w:rsid w:val="00F332F1"/>
    <w:rsid w:val="00F35058"/>
    <w:rsid w:val="00F3656B"/>
    <w:rsid w:val="00F371BF"/>
    <w:rsid w:val="00F4171B"/>
    <w:rsid w:val="00F41C53"/>
    <w:rsid w:val="00F46DBE"/>
    <w:rsid w:val="00F47A54"/>
    <w:rsid w:val="00F5085C"/>
    <w:rsid w:val="00F51ABD"/>
    <w:rsid w:val="00F5700B"/>
    <w:rsid w:val="00F57F31"/>
    <w:rsid w:val="00F612C1"/>
    <w:rsid w:val="00F61E23"/>
    <w:rsid w:val="00F61E83"/>
    <w:rsid w:val="00F620C1"/>
    <w:rsid w:val="00F62D38"/>
    <w:rsid w:val="00F639D9"/>
    <w:rsid w:val="00F65875"/>
    <w:rsid w:val="00F67045"/>
    <w:rsid w:val="00F70190"/>
    <w:rsid w:val="00F70810"/>
    <w:rsid w:val="00F74B94"/>
    <w:rsid w:val="00F74C76"/>
    <w:rsid w:val="00F74FF1"/>
    <w:rsid w:val="00F75F19"/>
    <w:rsid w:val="00F81F6D"/>
    <w:rsid w:val="00F833B0"/>
    <w:rsid w:val="00F84013"/>
    <w:rsid w:val="00F86C56"/>
    <w:rsid w:val="00F87CD1"/>
    <w:rsid w:val="00F92ADB"/>
    <w:rsid w:val="00F95C1B"/>
    <w:rsid w:val="00F96423"/>
    <w:rsid w:val="00F967EB"/>
    <w:rsid w:val="00FA0A68"/>
    <w:rsid w:val="00FA1890"/>
    <w:rsid w:val="00FA1A6A"/>
    <w:rsid w:val="00FA47E8"/>
    <w:rsid w:val="00FA5107"/>
    <w:rsid w:val="00FA57D7"/>
    <w:rsid w:val="00FB266A"/>
    <w:rsid w:val="00FB2AFC"/>
    <w:rsid w:val="00FB2BB6"/>
    <w:rsid w:val="00FB2CB5"/>
    <w:rsid w:val="00FB5149"/>
    <w:rsid w:val="00FB708C"/>
    <w:rsid w:val="00FC06FB"/>
    <w:rsid w:val="00FC0EC8"/>
    <w:rsid w:val="00FC1430"/>
    <w:rsid w:val="00FC298B"/>
    <w:rsid w:val="00FC374C"/>
    <w:rsid w:val="00FC398E"/>
    <w:rsid w:val="00FC3A58"/>
    <w:rsid w:val="00FC427C"/>
    <w:rsid w:val="00FC4AD9"/>
    <w:rsid w:val="00FC7362"/>
    <w:rsid w:val="00FD260A"/>
    <w:rsid w:val="00FD2898"/>
    <w:rsid w:val="00FD2D46"/>
    <w:rsid w:val="00FD4CFD"/>
    <w:rsid w:val="00FD575C"/>
    <w:rsid w:val="00FD6186"/>
    <w:rsid w:val="00FD6287"/>
    <w:rsid w:val="00FD7944"/>
    <w:rsid w:val="00FD7A5A"/>
    <w:rsid w:val="00FE1314"/>
    <w:rsid w:val="00FE3165"/>
    <w:rsid w:val="00FE3914"/>
    <w:rsid w:val="00FE53CB"/>
    <w:rsid w:val="00FE7D3B"/>
    <w:rsid w:val="00FF1339"/>
    <w:rsid w:val="00FF5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EE157"/>
  <w15:docId w15:val="{39F21D4A-E948-2340-AC00-C34B07C5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849"/>
    <w:rPr>
      <w:rFonts w:ascii="Times New Roman" w:hAnsi="Times New Roman"/>
      <w:sz w:val="24"/>
      <w:szCs w:val="24"/>
    </w:rPr>
  </w:style>
  <w:style w:type="paragraph" w:styleId="Heading1">
    <w:name w:val="heading 1"/>
    <w:basedOn w:val="Normal"/>
    <w:next w:val="Normal"/>
    <w:qFormat/>
    <w:rsid w:val="00334246"/>
    <w:pPr>
      <w:keepNext/>
      <w:spacing w:line="240" w:lineRule="exact"/>
      <w:outlineLvl w:val="0"/>
    </w:pPr>
    <w:rPr>
      <w:rFonts w:ascii="Arial" w:hAnsi="Arial"/>
      <w:b/>
      <w:szCs w:val="22"/>
    </w:rPr>
  </w:style>
  <w:style w:type="paragraph" w:styleId="Heading2">
    <w:name w:val="heading 2"/>
    <w:basedOn w:val="Normal"/>
    <w:next w:val="Normal"/>
    <w:qFormat/>
    <w:rsid w:val="00334246"/>
    <w:pPr>
      <w:keepNext/>
      <w:spacing w:line="240" w:lineRule="exact"/>
      <w:jc w:val="both"/>
      <w:outlineLvl w:val="1"/>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246"/>
    <w:pPr>
      <w:tabs>
        <w:tab w:val="center" w:pos="4320"/>
        <w:tab w:val="right" w:pos="8640"/>
      </w:tabs>
    </w:pPr>
    <w:rPr>
      <w:rFonts w:ascii="Arial" w:hAnsi="Arial"/>
      <w:sz w:val="22"/>
      <w:szCs w:val="22"/>
    </w:rPr>
  </w:style>
  <w:style w:type="paragraph" w:styleId="BodyText">
    <w:name w:val="Body Text"/>
    <w:basedOn w:val="Normal"/>
    <w:rsid w:val="00334246"/>
    <w:pPr>
      <w:spacing w:line="240" w:lineRule="exact"/>
    </w:pPr>
    <w:rPr>
      <w:rFonts w:ascii="Arial" w:hAnsi="Arial"/>
      <w:szCs w:val="22"/>
    </w:rPr>
  </w:style>
  <w:style w:type="paragraph" w:styleId="BodyText2">
    <w:name w:val="Body Text 2"/>
    <w:basedOn w:val="Normal"/>
    <w:rsid w:val="00334246"/>
    <w:pPr>
      <w:jc w:val="both"/>
    </w:pPr>
    <w:rPr>
      <w:rFonts w:ascii="Arial" w:hAnsi="Arial"/>
      <w:szCs w:val="22"/>
    </w:rPr>
  </w:style>
  <w:style w:type="paragraph" w:styleId="Footer">
    <w:name w:val="footer"/>
    <w:basedOn w:val="Normal"/>
    <w:rsid w:val="00334246"/>
    <w:pPr>
      <w:tabs>
        <w:tab w:val="center" w:pos="4320"/>
        <w:tab w:val="right" w:pos="8640"/>
      </w:tabs>
    </w:pPr>
    <w:rPr>
      <w:rFonts w:ascii="Arial" w:hAnsi="Arial"/>
      <w:sz w:val="22"/>
      <w:szCs w:val="22"/>
    </w:rPr>
  </w:style>
  <w:style w:type="character" w:styleId="PageNumber">
    <w:name w:val="page number"/>
    <w:basedOn w:val="DefaultParagraphFont"/>
    <w:rsid w:val="00334246"/>
  </w:style>
  <w:style w:type="paragraph" w:styleId="BalloonText">
    <w:name w:val="Balloon Text"/>
    <w:basedOn w:val="Normal"/>
    <w:semiHidden/>
    <w:rsid w:val="00F97F3E"/>
    <w:rPr>
      <w:rFonts w:ascii="Tahoma" w:hAnsi="Tahoma" w:cs="Tahoma"/>
      <w:sz w:val="16"/>
      <w:szCs w:val="16"/>
    </w:rPr>
  </w:style>
  <w:style w:type="character" w:styleId="CommentReference">
    <w:name w:val="annotation reference"/>
    <w:basedOn w:val="DefaultParagraphFont"/>
    <w:rsid w:val="001554EA"/>
    <w:rPr>
      <w:sz w:val="18"/>
      <w:szCs w:val="18"/>
    </w:rPr>
  </w:style>
  <w:style w:type="paragraph" w:styleId="CommentText">
    <w:name w:val="annotation text"/>
    <w:basedOn w:val="Normal"/>
    <w:link w:val="CommentTextChar"/>
    <w:rsid w:val="001554EA"/>
    <w:rPr>
      <w:rFonts w:ascii="Arial" w:hAnsi="Arial"/>
    </w:rPr>
  </w:style>
  <w:style w:type="character" w:customStyle="1" w:styleId="CommentTextChar">
    <w:name w:val="Comment Text Char"/>
    <w:basedOn w:val="DefaultParagraphFont"/>
    <w:link w:val="CommentText"/>
    <w:rsid w:val="001554EA"/>
    <w:rPr>
      <w:sz w:val="24"/>
      <w:szCs w:val="24"/>
    </w:rPr>
  </w:style>
  <w:style w:type="paragraph" w:styleId="CommentSubject">
    <w:name w:val="annotation subject"/>
    <w:basedOn w:val="CommentText"/>
    <w:next w:val="CommentText"/>
    <w:link w:val="CommentSubjectChar"/>
    <w:rsid w:val="001554EA"/>
    <w:rPr>
      <w:b/>
      <w:bCs/>
      <w:sz w:val="20"/>
      <w:szCs w:val="20"/>
    </w:rPr>
  </w:style>
  <w:style w:type="character" w:customStyle="1" w:styleId="CommentSubjectChar">
    <w:name w:val="Comment Subject Char"/>
    <w:basedOn w:val="CommentTextChar"/>
    <w:link w:val="CommentSubject"/>
    <w:rsid w:val="001554EA"/>
    <w:rPr>
      <w:b/>
      <w:bCs/>
      <w:sz w:val="24"/>
      <w:szCs w:val="24"/>
    </w:rPr>
  </w:style>
  <w:style w:type="paragraph" w:styleId="ListParagraph">
    <w:name w:val="List Paragraph"/>
    <w:basedOn w:val="Normal"/>
    <w:uiPriority w:val="34"/>
    <w:qFormat/>
    <w:rsid w:val="0064418E"/>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822DAC"/>
  </w:style>
  <w:style w:type="character" w:styleId="Strong">
    <w:name w:val="Strong"/>
    <w:basedOn w:val="DefaultParagraphFont"/>
    <w:uiPriority w:val="22"/>
    <w:qFormat/>
    <w:rsid w:val="00FA57D7"/>
    <w:rPr>
      <w:b/>
      <w:bCs/>
    </w:rPr>
  </w:style>
  <w:style w:type="character" w:styleId="Hyperlink">
    <w:name w:val="Hyperlink"/>
    <w:basedOn w:val="DefaultParagraphFont"/>
    <w:uiPriority w:val="99"/>
    <w:unhideWhenUsed/>
    <w:rsid w:val="00FA57D7"/>
    <w:rPr>
      <w:color w:val="0000FF"/>
      <w:u w:val="single"/>
    </w:rPr>
  </w:style>
  <w:style w:type="character" w:customStyle="1" w:styleId="aqj">
    <w:name w:val="aqj"/>
    <w:basedOn w:val="DefaultParagraphFont"/>
    <w:rsid w:val="005F241D"/>
  </w:style>
  <w:style w:type="character" w:styleId="FollowedHyperlink">
    <w:name w:val="FollowedHyperlink"/>
    <w:basedOn w:val="DefaultParagraphFont"/>
    <w:rsid w:val="00726B2F"/>
    <w:rPr>
      <w:color w:val="800080" w:themeColor="followedHyperlink"/>
      <w:u w:val="single"/>
    </w:rPr>
  </w:style>
  <w:style w:type="character" w:customStyle="1" w:styleId="il">
    <w:name w:val="il"/>
    <w:basedOn w:val="DefaultParagraphFont"/>
    <w:rsid w:val="00A32EFC"/>
  </w:style>
  <w:style w:type="paragraph" w:styleId="NormalWeb">
    <w:name w:val="Normal (Web)"/>
    <w:basedOn w:val="Normal"/>
    <w:uiPriority w:val="99"/>
    <w:unhideWhenUsed/>
    <w:rsid w:val="0004797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4797E"/>
    <w:rPr>
      <w:i/>
      <w:iCs/>
    </w:rPr>
  </w:style>
  <w:style w:type="character" w:styleId="UnresolvedMention">
    <w:name w:val="Unresolved Mention"/>
    <w:basedOn w:val="DefaultParagraphFont"/>
    <w:uiPriority w:val="99"/>
    <w:semiHidden/>
    <w:unhideWhenUsed/>
    <w:rsid w:val="00D2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637">
      <w:bodyDiv w:val="1"/>
      <w:marLeft w:val="0"/>
      <w:marRight w:val="0"/>
      <w:marTop w:val="0"/>
      <w:marBottom w:val="0"/>
      <w:divBdr>
        <w:top w:val="none" w:sz="0" w:space="0" w:color="auto"/>
        <w:left w:val="none" w:sz="0" w:space="0" w:color="auto"/>
        <w:bottom w:val="none" w:sz="0" w:space="0" w:color="auto"/>
        <w:right w:val="none" w:sz="0" w:space="0" w:color="auto"/>
      </w:divBdr>
    </w:div>
    <w:div w:id="116534756">
      <w:bodyDiv w:val="1"/>
      <w:marLeft w:val="0"/>
      <w:marRight w:val="0"/>
      <w:marTop w:val="0"/>
      <w:marBottom w:val="0"/>
      <w:divBdr>
        <w:top w:val="none" w:sz="0" w:space="0" w:color="auto"/>
        <w:left w:val="none" w:sz="0" w:space="0" w:color="auto"/>
        <w:bottom w:val="none" w:sz="0" w:space="0" w:color="auto"/>
        <w:right w:val="none" w:sz="0" w:space="0" w:color="auto"/>
      </w:divBdr>
    </w:div>
    <w:div w:id="131363246">
      <w:bodyDiv w:val="1"/>
      <w:marLeft w:val="0"/>
      <w:marRight w:val="0"/>
      <w:marTop w:val="0"/>
      <w:marBottom w:val="0"/>
      <w:divBdr>
        <w:top w:val="none" w:sz="0" w:space="0" w:color="auto"/>
        <w:left w:val="none" w:sz="0" w:space="0" w:color="auto"/>
        <w:bottom w:val="none" w:sz="0" w:space="0" w:color="auto"/>
        <w:right w:val="none" w:sz="0" w:space="0" w:color="auto"/>
      </w:divBdr>
    </w:div>
    <w:div w:id="178397784">
      <w:bodyDiv w:val="1"/>
      <w:marLeft w:val="0"/>
      <w:marRight w:val="0"/>
      <w:marTop w:val="0"/>
      <w:marBottom w:val="0"/>
      <w:divBdr>
        <w:top w:val="none" w:sz="0" w:space="0" w:color="auto"/>
        <w:left w:val="none" w:sz="0" w:space="0" w:color="auto"/>
        <w:bottom w:val="none" w:sz="0" w:space="0" w:color="auto"/>
        <w:right w:val="none" w:sz="0" w:space="0" w:color="auto"/>
      </w:divBdr>
    </w:div>
    <w:div w:id="183179158">
      <w:bodyDiv w:val="1"/>
      <w:marLeft w:val="0"/>
      <w:marRight w:val="0"/>
      <w:marTop w:val="0"/>
      <w:marBottom w:val="0"/>
      <w:divBdr>
        <w:top w:val="none" w:sz="0" w:space="0" w:color="auto"/>
        <w:left w:val="none" w:sz="0" w:space="0" w:color="auto"/>
        <w:bottom w:val="none" w:sz="0" w:space="0" w:color="auto"/>
        <w:right w:val="none" w:sz="0" w:space="0" w:color="auto"/>
      </w:divBdr>
    </w:div>
    <w:div w:id="225922908">
      <w:bodyDiv w:val="1"/>
      <w:marLeft w:val="0"/>
      <w:marRight w:val="0"/>
      <w:marTop w:val="0"/>
      <w:marBottom w:val="0"/>
      <w:divBdr>
        <w:top w:val="none" w:sz="0" w:space="0" w:color="auto"/>
        <w:left w:val="none" w:sz="0" w:space="0" w:color="auto"/>
        <w:bottom w:val="none" w:sz="0" w:space="0" w:color="auto"/>
        <w:right w:val="none" w:sz="0" w:space="0" w:color="auto"/>
      </w:divBdr>
    </w:div>
    <w:div w:id="238290814">
      <w:bodyDiv w:val="1"/>
      <w:marLeft w:val="0"/>
      <w:marRight w:val="0"/>
      <w:marTop w:val="0"/>
      <w:marBottom w:val="0"/>
      <w:divBdr>
        <w:top w:val="none" w:sz="0" w:space="0" w:color="auto"/>
        <w:left w:val="none" w:sz="0" w:space="0" w:color="auto"/>
        <w:bottom w:val="none" w:sz="0" w:space="0" w:color="auto"/>
        <w:right w:val="none" w:sz="0" w:space="0" w:color="auto"/>
      </w:divBdr>
    </w:div>
    <w:div w:id="258031263">
      <w:bodyDiv w:val="1"/>
      <w:marLeft w:val="0"/>
      <w:marRight w:val="0"/>
      <w:marTop w:val="0"/>
      <w:marBottom w:val="0"/>
      <w:divBdr>
        <w:top w:val="none" w:sz="0" w:space="0" w:color="auto"/>
        <w:left w:val="none" w:sz="0" w:space="0" w:color="auto"/>
        <w:bottom w:val="none" w:sz="0" w:space="0" w:color="auto"/>
        <w:right w:val="none" w:sz="0" w:space="0" w:color="auto"/>
      </w:divBdr>
    </w:div>
    <w:div w:id="271671626">
      <w:bodyDiv w:val="1"/>
      <w:marLeft w:val="0"/>
      <w:marRight w:val="0"/>
      <w:marTop w:val="0"/>
      <w:marBottom w:val="0"/>
      <w:divBdr>
        <w:top w:val="none" w:sz="0" w:space="0" w:color="auto"/>
        <w:left w:val="none" w:sz="0" w:space="0" w:color="auto"/>
        <w:bottom w:val="none" w:sz="0" w:space="0" w:color="auto"/>
        <w:right w:val="none" w:sz="0" w:space="0" w:color="auto"/>
      </w:divBdr>
    </w:div>
    <w:div w:id="294215415">
      <w:bodyDiv w:val="1"/>
      <w:marLeft w:val="0"/>
      <w:marRight w:val="0"/>
      <w:marTop w:val="0"/>
      <w:marBottom w:val="0"/>
      <w:divBdr>
        <w:top w:val="none" w:sz="0" w:space="0" w:color="auto"/>
        <w:left w:val="none" w:sz="0" w:space="0" w:color="auto"/>
        <w:bottom w:val="none" w:sz="0" w:space="0" w:color="auto"/>
        <w:right w:val="none" w:sz="0" w:space="0" w:color="auto"/>
      </w:divBdr>
      <w:divsChild>
        <w:div w:id="1473257458">
          <w:marLeft w:val="0"/>
          <w:marRight w:val="0"/>
          <w:marTop w:val="0"/>
          <w:marBottom w:val="0"/>
          <w:divBdr>
            <w:top w:val="none" w:sz="0" w:space="0" w:color="auto"/>
            <w:left w:val="none" w:sz="0" w:space="0" w:color="auto"/>
            <w:bottom w:val="none" w:sz="0" w:space="0" w:color="auto"/>
            <w:right w:val="none" w:sz="0" w:space="0" w:color="auto"/>
          </w:divBdr>
        </w:div>
      </w:divsChild>
    </w:div>
    <w:div w:id="310209167">
      <w:bodyDiv w:val="1"/>
      <w:marLeft w:val="0"/>
      <w:marRight w:val="0"/>
      <w:marTop w:val="0"/>
      <w:marBottom w:val="0"/>
      <w:divBdr>
        <w:top w:val="none" w:sz="0" w:space="0" w:color="auto"/>
        <w:left w:val="none" w:sz="0" w:space="0" w:color="auto"/>
        <w:bottom w:val="none" w:sz="0" w:space="0" w:color="auto"/>
        <w:right w:val="none" w:sz="0" w:space="0" w:color="auto"/>
      </w:divBdr>
    </w:div>
    <w:div w:id="477458646">
      <w:bodyDiv w:val="1"/>
      <w:marLeft w:val="0"/>
      <w:marRight w:val="0"/>
      <w:marTop w:val="0"/>
      <w:marBottom w:val="0"/>
      <w:divBdr>
        <w:top w:val="none" w:sz="0" w:space="0" w:color="auto"/>
        <w:left w:val="none" w:sz="0" w:space="0" w:color="auto"/>
        <w:bottom w:val="none" w:sz="0" w:space="0" w:color="auto"/>
        <w:right w:val="none" w:sz="0" w:space="0" w:color="auto"/>
      </w:divBdr>
    </w:div>
    <w:div w:id="512451066">
      <w:bodyDiv w:val="1"/>
      <w:marLeft w:val="0"/>
      <w:marRight w:val="0"/>
      <w:marTop w:val="0"/>
      <w:marBottom w:val="0"/>
      <w:divBdr>
        <w:top w:val="none" w:sz="0" w:space="0" w:color="auto"/>
        <w:left w:val="none" w:sz="0" w:space="0" w:color="auto"/>
        <w:bottom w:val="none" w:sz="0" w:space="0" w:color="auto"/>
        <w:right w:val="none" w:sz="0" w:space="0" w:color="auto"/>
      </w:divBdr>
    </w:div>
    <w:div w:id="572618256">
      <w:bodyDiv w:val="1"/>
      <w:marLeft w:val="0"/>
      <w:marRight w:val="0"/>
      <w:marTop w:val="0"/>
      <w:marBottom w:val="0"/>
      <w:divBdr>
        <w:top w:val="none" w:sz="0" w:space="0" w:color="auto"/>
        <w:left w:val="none" w:sz="0" w:space="0" w:color="auto"/>
        <w:bottom w:val="none" w:sz="0" w:space="0" w:color="auto"/>
        <w:right w:val="none" w:sz="0" w:space="0" w:color="auto"/>
      </w:divBdr>
    </w:div>
    <w:div w:id="600843320">
      <w:bodyDiv w:val="1"/>
      <w:marLeft w:val="0"/>
      <w:marRight w:val="0"/>
      <w:marTop w:val="0"/>
      <w:marBottom w:val="0"/>
      <w:divBdr>
        <w:top w:val="none" w:sz="0" w:space="0" w:color="auto"/>
        <w:left w:val="none" w:sz="0" w:space="0" w:color="auto"/>
        <w:bottom w:val="none" w:sz="0" w:space="0" w:color="auto"/>
        <w:right w:val="none" w:sz="0" w:space="0" w:color="auto"/>
      </w:divBdr>
    </w:div>
    <w:div w:id="775712995">
      <w:bodyDiv w:val="1"/>
      <w:marLeft w:val="0"/>
      <w:marRight w:val="0"/>
      <w:marTop w:val="0"/>
      <w:marBottom w:val="0"/>
      <w:divBdr>
        <w:top w:val="none" w:sz="0" w:space="0" w:color="auto"/>
        <w:left w:val="none" w:sz="0" w:space="0" w:color="auto"/>
        <w:bottom w:val="none" w:sz="0" w:space="0" w:color="auto"/>
        <w:right w:val="none" w:sz="0" w:space="0" w:color="auto"/>
      </w:divBdr>
      <w:divsChild>
        <w:div w:id="21637361">
          <w:marLeft w:val="0"/>
          <w:marRight w:val="0"/>
          <w:marTop w:val="0"/>
          <w:marBottom w:val="0"/>
          <w:divBdr>
            <w:top w:val="none" w:sz="0" w:space="0" w:color="auto"/>
            <w:left w:val="none" w:sz="0" w:space="0" w:color="auto"/>
            <w:bottom w:val="none" w:sz="0" w:space="0" w:color="auto"/>
            <w:right w:val="none" w:sz="0" w:space="0" w:color="auto"/>
          </w:divBdr>
        </w:div>
      </w:divsChild>
    </w:div>
    <w:div w:id="932010633">
      <w:bodyDiv w:val="1"/>
      <w:marLeft w:val="0"/>
      <w:marRight w:val="0"/>
      <w:marTop w:val="0"/>
      <w:marBottom w:val="0"/>
      <w:divBdr>
        <w:top w:val="none" w:sz="0" w:space="0" w:color="auto"/>
        <w:left w:val="none" w:sz="0" w:space="0" w:color="auto"/>
        <w:bottom w:val="none" w:sz="0" w:space="0" w:color="auto"/>
        <w:right w:val="none" w:sz="0" w:space="0" w:color="auto"/>
      </w:divBdr>
    </w:div>
    <w:div w:id="957687190">
      <w:bodyDiv w:val="1"/>
      <w:marLeft w:val="0"/>
      <w:marRight w:val="0"/>
      <w:marTop w:val="0"/>
      <w:marBottom w:val="0"/>
      <w:divBdr>
        <w:top w:val="none" w:sz="0" w:space="0" w:color="auto"/>
        <w:left w:val="none" w:sz="0" w:space="0" w:color="auto"/>
        <w:bottom w:val="none" w:sz="0" w:space="0" w:color="auto"/>
        <w:right w:val="none" w:sz="0" w:space="0" w:color="auto"/>
      </w:divBdr>
    </w:div>
    <w:div w:id="1011878054">
      <w:bodyDiv w:val="1"/>
      <w:marLeft w:val="0"/>
      <w:marRight w:val="0"/>
      <w:marTop w:val="0"/>
      <w:marBottom w:val="0"/>
      <w:divBdr>
        <w:top w:val="none" w:sz="0" w:space="0" w:color="auto"/>
        <w:left w:val="none" w:sz="0" w:space="0" w:color="auto"/>
        <w:bottom w:val="none" w:sz="0" w:space="0" w:color="auto"/>
        <w:right w:val="none" w:sz="0" w:space="0" w:color="auto"/>
      </w:divBdr>
    </w:div>
    <w:div w:id="1063060084">
      <w:bodyDiv w:val="1"/>
      <w:marLeft w:val="0"/>
      <w:marRight w:val="0"/>
      <w:marTop w:val="0"/>
      <w:marBottom w:val="0"/>
      <w:divBdr>
        <w:top w:val="none" w:sz="0" w:space="0" w:color="auto"/>
        <w:left w:val="none" w:sz="0" w:space="0" w:color="auto"/>
        <w:bottom w:val="none" w:sz="0" w:space="0" w:color="auto"/>
        <w:right w:val="none" w:sz="0" w:space="0" w:color="auto"/>
      </w:divBdr>
      <w:divsChild>
        <w:div w:id="1632250479">
          <w:marLeft w:val="0"/>
          <w:marRight w:val="0"/>
          <w:marTop w:val="0"/>
          <w:marBottom w:val="0"/>
          <w:divBdr>
            <w:top w:val="none" w:sz="0" w:space="0" w:color="auto"/>
            <w:left w:val="none" w:sz="0" w:space="0" w:color="auto"/>
            <w:bottom w:val="none" w:sz="0" w:space="0" w:color="auto"/>
            <w:right w:val="none" w:sz="0" w:space="0" w:color="auto"/>
          </w:divBdr>
        </w:div>
        <w:div w:id="2043162423">
          <w:marLeft w:val="0"/>
          <w:marRight w:val="0"/>
          <w:marTop w:val="0"/>
          <w:marBottom w:val="0"/>
          <w:divBdr>
            <w:top w:val="none" w:sz="0" w:space="0" w:color="auto"/>
            <w:left w:val="none" w:sz="0" w:space="0" w:color="auto"/>
            <w:bottom w:val="none" w:sz="0" w:space="0" w:color="auto"/>
            <w:right w:val="none" w:sz="0" w:space="0" w:color="auto"/>
          </w:divBdr>
        </w:div>
        <w:div w:id="1574705879">
          <w:marLeft w:val="0"/>
          <w:marRight w:val="0"/>
          <w:marTop w:val="0"/>
          <w:marBottom w:val="0"/>
          <w:divBdr>
            <w:top w:val="none" w:sz="0" w:space="0" w:color="auto"/>
            <w:left w:val="none" w:sz="0" w:space="0" w:color="auto"/>
            <w:bottom w:val="none" w:sz="0" w:space="0" w:color="auto"/>
            <w:right w:val="none" w:sz="0" w:space="0" w:color="auto"/>
          </w:divBdr>
        </w:div>
        <w:div w:id="803351023">
          <w:marLeft w:val="0"/>
          <w:marRight w:val="0"/>
          <w:marTop w:val="0"/>
          <w:marBottom w:val="0"/>
          <w:divBdr>
            <w:top w:val="none" w:sz="0" w:space="0" w:color="auto"/>
            <w:left w:val="none" w:sz="0" w:space="0" w:color="auto"/>
            <w:bottom w:val="none" w:sz="0" w:space="0" w:color="auto"/>
            <w:right w:val="none" w:sz="0" w:space="0" w:color="auto"/>
          </w:divBdr>
        </w:div>
      </w:divsChild>
    </w:div>
    <w:div w:id="1087851697">
      <w:bodyDiv w:val="1"/>
      <w:marLeft w:val="0"/>
      <w:marRight w:val="0"/>
      <w:marTop w:val="0"/>
      <w:marBottom w:val="0"/>
      <w:divBdr>
        <w:top w:val="none" w:sz="0" w:space="0" w:color="auto"/>
        <w:left w:val="none" w:sz="0" w:space="0" w:color="auto"/>
        <w:bottom w:val="none" w:sz="0" w:space="0" w:color="auto"/>
        <w:right w:val="none" w:sz="0" w:space="0" w:color="auto"/>
      </w:divBdr>
    </w:div>
    <w:div w:id="1092550814">
      <w:bodyDiv w:val="1"/>
      <w:marLeft w:val="0"/>
      <w:marRight w:val="0"/>
      <w:marTop w:val="0"/>
      <w:marBottom w:val="0"/>
      <w:divBdr>
        <w:top w:val="none" w:sz="0" w:space="0" w:color="auto"/>
        <w:left w:val="none" w:sz="0" w:space="0" w:color="auto"/>
        <w:bottom w:val="none" w:sz="0" w:space="0" w:color="auto"/>
        <w:right w:val="none" w:sz="0" w:space="0" w:color="auto"/>
      </w:divBdr>
    </w:div>
    <w:div w:id="1153793843">
      <w:bodyDiv w:val="1"/>
      <w:marLeft w:val="0"/>
      <w:marRight w:val="0"/>
      <w:marTop w:val="0"/>
      <w:marBottom w:val="0"/>
      <w:divBdr>
        <w:top w:val="none" w:sz="0" w:space="0" w:color="auto"/>
        <w:left w:val="none" w:sz="0" w:space="0" w:color="auto"/>
        <w:bottom w:val="none" w:sz="0" w:space="0" w:color="auto"/>
        <w:right w:val="none" w:sz="0" w:space="0" w:color="auto"/>
      </w:divBdr>
    </w:div>
    <w:div w:id="1331443683">
      <w:bodyDiv w:val="1"/>
      <w:marLeft w:val="0"/>
      <w:marRight w:val="0"/>
      <w:marTop w:val="0"/>
      <w:marBottom w:val="0"/>
      <w:divBdr>
        <w:top w:val="none" w:sz="0" w:space="0" w:color="auto"/>
        <w:left w:val="none" w:sz="0" w:space="0" w:color="auto"/>
        <w:bottom w:val="none" w:sz="0" w:space="0" w:color="auto"/>
        <w:right w:val="none" w:sz="0" w:space="0" w:color="auto"/>
      </w:divBdr>
    </w:div>
    <w:div w:id="1341352816">
      <w:bodyDiv w:val="1"/>
      <w:marLeft w:val="0"/>
      <w:marRight w:val="0"/>
      <w:marTop w:val="0"/>
      <w:marBottom w:val="0"/>
      <w:divBdr>
        <w:top w:val="none" w:sz="0" w:space="0" w:color="auto"/>
        <w:left w:val="none" w:sz="0" w:space="0" w:color="auto"/>
        <w:bottom w:val="none" w:sz="0" w:space="0" w:color="auto"/>
        <w:right w:val="none" w:sz="0" w:space="0" w:color="auto"/>
      </w:divBdr>
    </w:div>
    <w:div w:id="1424642574">
      <w:bodyDiv w:val="1"/>
      <w:marLeft w:val="0"/>
      <w:marRight w:val="0"/>
      <w:marTop w:val="0"/>
      <w:marBottom w:val="0"/>
      <w:divBdr>
        <w:top w:val="none" w:sz="0" w:space="0" w:color="auto"/>
        <w:left w:val="none" w:sz="0" w:space="0" w:color="auto"/>
        <w:bottom w:val="none" w:sz="0" w:space="0" w:color="auto"/>
        <w:right w:val="none" w:sz="0" w:space="0" w:color="auto"/>
      </w:divBdr>
    </w:div>
    <w:div w:id="1439642307">
      <w:bodyDiv w:val="1"/>
      <w:marLeft w:val="0"/>
      <w:marRight w:val="0"/>
      <w:marTop w:val="0"/>
      <w:marBottom w:val="0"/>
      <w:divBdr>
        <w:top w:val="none" w:sz="0" w:space="0" w:color="auto"/>
        <w:left w:val="none" w:sz="0" w:space="0" w:color="auto"/>
        <w:bottom w:val="none" w:sz="0" w:space="0" w:color="auto"/>
        <w:right w:val="none" w:sz="0" w:space="0" w:color="auto"/>
      </w:divBdr>
    </w:div>
    <w:div w:id="1454251199">
      <w:bodyDiv w:val="1"/>
      <w:marLeft w:val="0"/>
      <w:marRight w:val="0"/>
      <w:marTop w:val="0"/>
      <w:marBottom w:val="0"/>
      <w:divBdr>
        <w:top w:val="none" w:sz="0" w:space="0" w:color="auto"/>
        <w:left w:val="none" w:sz="0" w:space="0" w:color="auto"/>
        <w:bottom w:val="none" w:sz="0" w:space="0" w:color="auto"/>
        <w:right w:val="none" w:sz="0" w:space="0" w:color="auto"/>
      </w:divBdr>
      <w:divsChild>
        <w:div w:id="1546258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112705">
              <w:marLeft w:val="0"/>
              <w:marRight w:val="0"/>
              <w:marTop w:val="0"/>
              <w:marBottom w:val="0"/>
              <w:divBdr>
                <w:top w:val="none" w:sz="0" w:space="0" w:color="auto"/>
                <w:left w:val="none" w:sz="0" w:space="0" w:color="auto"/>
                <w:bottom w:val="none" w:sz="0" w:space="0" w:color="auto"/>
                <w:right w:val="none" w:sz="0" w:space="0" w:color="auto"/>
              </w:divBdr>
              <w:divsChild>
                <w:div w:id="1055811663">
                  <w:marLeft w:val="0"/>
                  <w:marRight w:val="0"/>
                  <w:marTop w:val="0"/>
                  <w:marBottom w:val="0"/>
                  <w:divBdr>
                    <w:top w:val="none" w:sz="0" w:space="0" w:color="auto"/>
                    <w:left w:val="none" w:sz="0" w:space="0" w:color="auto"/>
                    <w:bottom w:val="none" w:sz="0" w:space="0" w:color="auto"/>
                    <w:right w:val="none" w:sz="0" w:space="0" w:color="auto"/>
                  </w:divBdr>
                  <w:divsChild>
                    <w:div w:id="1031613773">
                      <w:marLeft w:val="0"/>
                      <w:marRight w:val="0"/>
                      <w:marTop w:val="0"/>
                      <w:marBottom w:val="0"/>
                      <w:divBdr>
                        <w:top w:val="none" w:sz="0" w:space="0" w:color="auto"/>
                        <w:left w:val="none" w:sz="0" w:space="0" w:color="auto"/>
                        <w:bottom w:val="none" w:sz="0" w:space="0" w:color="auto"/>
                        <w:right w:val="none" w:sz="0" w:space="0" w:color="auto"/>
                      </w:divBdr>
                    </w:div>
                    <w:div w:id="1927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38618">
      <w:bodyDiv w:val="1"/>
      <w:marLeft w:val="0"/>
      <w:marRight w:val="0"/>
      <w:marTop w:val="0"/>
      <w:marBottom w:val="0"/>
      <w:divBdr>
        <w:top w:val="none" w:sz="0" w:space="0" w:color="auto"/>
        <w:left w:val="none" w:sz="0" w:space="0" w:color="auto"/>
        <w:bottom w:val="none" w:sz="0" w:space="0" w:color="auto"/>
        <w:right w:val="none" w:sz="0" w:space="0" w:color="auto"/>
      </w:divBdr>
    </w:div>
    <w:div w:id="1597708973">
      <w:bodyDiv w:val="1"/>
      <w:marLeft w:val="0"/>
      <w:marRight w:val="0"/>
      <w:marTop w:val="0"/>
      <w:marBottom w:val="0"/>
      <w:divBdr>
        <w:top w:val="none" w:sz="0" w:space="0" w:color="auto"/>
        <w:left w:val="none" w:sz="0" w:space="0" w:color="auto"/>
        <w:bottom w:val="none" w:sz="0" w:space="0" w:color="auto"/>
        <w:right w:val="none" w:sz="0" w:space="0" w:color="auto"/>
      </w:divBdr>
      <w:divsChild>
        <w:div w:id="800541680">
          <w:marLeft w:val="0"/>
          <w:marRight w:val="0"/>
          <w:marTop w:val="0"/>
          <w:marBottom w:val="0"/>
          <w:divBdr>
            <w:top w:val="none" w:sz="0" w:space="0" w:color="auto"/>
            <w:left w:val="none" w:sz="0" w:space="0" w:color="auto"/>
            <w:bottom w:val="none" w:sz="0" w:space="0" w:color="auto"/>
            <w:right w:val="none" w:sz="0" w:space="0" w:color="auto"/>
          </w:divBdr>
        </w:div>
      </w:divsChild>
    </w:div>
    <w:div w:id="1605763808">
      <w:bodyDiv w:val="1"/>
      <w:marLeft w:val="0"/>
      <w:marRight w:val="0"/>
      <w:marTop w:val="0"/>
      <w:marBottom w:val="0"/>
      <w:divBdr>
        <w:top w:val="none" w:sz="0" w:space="0" w:color="auto"/>
        <w:left w:val="none" w:sz="0" w:space="0" w:color="auto"/>
        <w:bottom w:val="none" w:sz="0" w:space="0" w:color="auto"/>
        <w:right w:val="none" w:sz="0" w:space="0" w:color="auto"/>
      </w:divBdr>
    </w:div>
    <w:div w:id="1727336689">
      <w:bodyDiv w:val="1"/>
      <w:marLeft w:val="0"/>
      <w:marRight w:val="0"/>
      <w:marTop w:val="0"/>
      <w:marBottom w:val="0"/>
      <w:divBdr>
        <w:top w:val="none" w:sz="0" w:space="0" w:color="auto"/>
        <w:left w:val="none" w:sz="0" w:space="0" w:color="auto"/>
        <w:bottom w:val="none" w:sz="0" w:space="0" w:color="auto"/>
        <w:right w:val="none" w:sz="0" w:space="0" w:color="auto"/>
      </w:divBdr>
    </w:div>
    <w:div w:id="1766346417">
      <w:bodyDiv w:val="1"/>
      <w:marLeft w:val="0"/>
      <w:marRight w:val="0"/>
      <w:marTop w:val="0"/>
      <w:marBottom w:val="0"/>
      <w:divBdr>
        <w:top w:val="none" w:sz="0" w:space="0" w:color="auto"/>
        <w:left w:val="none" w:sz="0" w:space="0" w:color="auto"/>
        <w:bottom w:val="none" w:sz="0" w:space="0" w:color="auto"/>
        <w:right w:val="none" w:sz="0" w:space="0" w:color="auto"/>
      </w:divBdr>
    </w:div>
    <w:div w:id="1837107348">
      <w:bodyDiv w:val="1"/>
      <w:marLeft w:val="0"/>
      <w:marRight w:val="0"/>
      <w:marTop w:val="0"/>
      <w:marBottom w:val="0"/>
      <w:divBdr>
        <w:top w:val="none" w:sz="0" w:space="0" w:color="auto"/>
        <w:left w:val="none" w:sz="0" w:space="0" w:color="auto"/>
        <w:bottom w:val="none" w:sz="0" w:space="0" w:color="auto"/>
        <w:right w:val="none" w:sz="0" w:space="0" w:color="auto"/>
      </w:divBdr>
    </w:div>
    <w:div w:id="1849709602">
      <w:bodyDiv w:val="1"/>
      <w:marLeft w:val="0"/>
      <w:marRight w:val="0"/>
      <w:marTop w:val="0"/>
      <w:marBottom w:val="0"/>
      <w:divBdr>
        <w:top w:val="none" w:sz="0" w:space="0" w:color="auto"/>
        <w:left w:val="none" w:sz="0" w:space="0" w:color="auto"/>
        <w:bottom w:val="none" w:sz="0" w:space="0" w:color="auto"/>
        <w:right w:val="none" w:sz="0" w:space="0" w:color="auto"/>
      </w:divBdr>
    </w:div>
    <w:div w:id="1869678197">
      <w:bodyDiv w:val="1"/>
      <w:marLeft w:val="0"/>
      <w:marRight w:val="0"/>
      <w:marTop w:val="0"/>
      <w:marBottom w:val="0"/>
      <w:divBdr>
        <w:top w:val="none" w:sz="0" w:space="0" w:color="auto"/>
        <w:left w:val="none" w:sz="0" w:space="0" w:color="auto"/>
        <w:bottom w:val="none" w:sz="0" w:space="0" w:color="auto"/>
        <w:right w:val="none" w:sz="0" w:space="0" w:color="auto"/>
      </w:divBdr>
    </w:div>
    <w:div w:id="1989087328">
      <w:bodyDiv w:val="1"/>
      <w:marLeft w:val="0"/>
      <w:marRight w:val="0"/>
      <w:marTop w:val="0"/>
      <w:marBottom w:val="0"/>
      <w:divBdr>
        <w:top w:val="none" w:sz="0" w:space="0" w:color="auto"/>
        <w:left w:val="none" w:sz="0" w:space="0" w:color="auto"/>
        <w:bottom w:val="none" w:sz="0" w:space="0" w:color="auto"/>
        <w:right w:val="none" w:sz="0" w:space="0" w:color="auto"/>
      </w:divBdr>
    </w:div>
    <w:div w:id="2039623460">
      <w:bodyDiv w:val="1"/>
      <w:marLeft w:val="0"/>
      <w:marRight w:val="0"/>
      <w:marTop w:val="0"/>
      <w:marBottom w:val="0"/>
      <w:divBdr>
        <w:top w:val="none" w:sz="0" w:space="0" w:color="auto"/>
        <w:left w:val="none" w:sz="0" w:space="0" w:color="auto"/>
        <w:bottom w:val="none" w:sz="0" w:space="0" w:color="auto"/>
        <w:right w:val="none" w:sz="0" w:space="0" w:color="auto"/>
      </w:divBdr>
    </w:div>
    <w:div w:id="2063167931">
      <w:bodyDiv w:val="1"/>
      <w:marLeft w:val="0"/>
      <w:marRight w:val="0"/>
      <w:marTop w:val="0"/>
      <w:marBottom w:val="0"/>
      <w:divBdr>
        <w:top w:val="none" w:sz="0" w:space="0" w:color="auto"/>
        <w:left w:val="none" w:sz="0" w:space="0" w:color="auto"/>
        <w:bottom w:val="none" w:sz="0" w:space="0" w:color="auto"/>
        <w:right w:val="none" w:sz="0" w:space="0" w:color="auto"/>
      </w:divBdr>
    </w:div>
    <w:div w:id="2065443375">
      <w:bodyDiv w:val="1"/>
      <w:marLeft w:val="0"/>
      <w:marRight w:val="0"/>
      <w:marTop w:val="0"/>
      <w:marBottom w:val="0"/>
      <w:divBdr>
        <w:top w:val="none" w:sz="0" w:space="0" w:color="auto"/>
        <w:left w:val="none" w:sz="0" w:space="0" w:color="auto"/>
        <w:bottom w:val="none" w:sz="0" w:space="0" w:color="auto"/>
        <w:right w:val="none" w:sz="0" w:space="0" w:color="auto"/>
      </w:divBdr>
    </w:div>
    <w:div w:id="2128962013">
      <w:bodyDiv w:val="1"/>
      <w:marLeft w:val="0"/>
      <w:marRight w:val="0"/>
      <w:marTop w:val="0"/>
      <w:marBottom w:val="0"/>
      <w:divBdr>
        <w:top w:val="none" w:sz="0" w:space="0" w:color="auto"/>
        <w:left w:val="none" w:sz="0" w:space="0" w:color="auto"/>
        <w:bottom w:val="none" w:sz="0" w:space="0" w:color="auto"/>
        <w:right w:val="none" w:sz="0" w:space="0" w:color="auto"/>
      </w:divBdr>
    </w:div>
    <w:div w:id="2133093268">
      <w:bodyDiv w:val="1"/>
      <w:marLeft w:val="0"/>
      <w:marRight w:val="0"/>
      <w:marTop w:val="0"/>
      <w:marBottom w:val="0"/>
      <w:divBdr>
        <w:top w:val="none" w:sz="0" w:space="0" w:color="auto"/>
        <w:left w:val="none" w:sz="0" w:space="0" w:color="auto"/>
        <w:bottom w:val="none" w:sz="0" w:space="0" w:color="auto"/>
        <w:right w:val="none" w:sz="0" w:space="0" w:color="auto"/>
      </w:divBdr>
    </w:div>
    <w:div w:id="214299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3A%2F%2Fwww.brown.edu%2Fcampus-life%2Fsupport%2Faccessibility-services%2F&amp;sa=D&amp;sntz=1&amp;usg=AFQjCNEVFiw4-DSpxJNpEUI8zzvhJMQBVA" TargetMode="External"/><Relationship Id="rId18" Type="http://schemas.openxmlformats.org/officeDocument/2006/relationships/hyperlink" Target="https://www.google.com/url?q=https%3A%2F%2Fwww.facebook.com%2FSamuel-M-Nabrit-Black-Graduate-Student-Association-106743682705255%2F%3Ffilter%3D2&amp;sa=D&amp;sntz=1&amp;usg=AFQjCNFvLD8i30-bGq6zOoan748yFOcNrA" TargetMode="External"/><Relationship Id="rId26" Type="http://schemas.openxmlformats.org/officeDocument/2006/relationships/hyperlink" Target="http://www.google.com/url?q=http%3A%2F%2Fwww.brown.edu%2Fcampus-life%2Fsupport%2Flgbtq%2Ftransbrown&amp;sa=D&amp;sntz=1&amp;usg=AFQjCNGz2TI-PNfOD7K34gW1BeddK8_SGg" TargetMode="External"/><Relationship Id="rId39" Type="http://schemas.openxmlformats.org/officeDocument/2006/relationships/theme" Target="theme/theme1.xml"/><Relationship Id="rId21" Type="http://schemas.openxmlformats.org/officeDocument/2006/relationships/hyperlink" Target="https://www.google.com/url?q=https%3A%2F%2Fwww.brown.edu%2Facademics%2Frace-ethnicity%2F&amp;sa=D&amp;sntz=1&amp;usg=AFQjCNEEBohPrvw2PqNignEWEYFFjTHpEg" TargetMode="External"/><Relationship Id="rId34" Type="http://schemas.openxmlformats.org/officeDocument/2006/relationships/header" Target="header2.xml"/><Relationship Id="rId7" Type="http://schemas.openxmlformats.org/officeDocument/2006/relationships/hyperlink" Target="https://www.brown.edu/initiatives/translational-research/mentoring-training-program" TargetMode="External"/><Relationship Id="rId12" Type="http://schemas.openxmlformats.org/officeDocument/2006/relationships/hyperlink" Target="http://www.google.com/url?q=http%3A%2F%2Fbiomed.brown.edu%2Fimsd%2F&amp;sa=D&amp;sntz=1&amp;usg=AFQjCNHg2EEGzM9cY2MnNPvI1xTv9FGkmw" TargetMode="External"/><Relationship Id="rId17" Type="http://schemas.openxmlformats.org/officeDocument/2006/relationships/hyperlink" Target="https://www.brown.edu/about/administration/institutional-diversity/resources/campus-resources-students-faculty-staff-and-alumni/mentoring-and-professional-development" TargetMode="External"/><Relationship Id="rId25" Type="http://schemas.openxmlformats.org/officeDocument/2006/relationships/hyperlink" Target="http://www.google.com/url?q=http%3A%2F%2Fwww.brown.edu%2Fcampus-life%2Fsupport%2Fsarah-doyle-center%2F&amp;sa=D&amp;sntz=1&amp;usg=AFQjCNHMbtKOrcPyuAnwPSYenN9cglP6RQ"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s%3A%2F%2Fwww.brown.edu%2Fcampus-life%2Fsupport%2Fstudents-of-color%2F&amp;sa=D&amp;sntz=1&amp;usg=AFQjCNEacEoB_HgAEUQz38X0-wyhKI8TUA" TargetMode="External"/><Relationship Id="rId20" Type="http://schemas.openxmlformats.org/officeDocument/2006/relationships/hyperlink" Target="https://www.google.com/url?q=https%3A%2F%2Fwww.facebook.com%2FBrownGWiSE%2F&amp;sa=D&amp;sntz=1&amp;usg=AFQjCNGiLh2ZRCFaCmV3AoGl3Y-NLEJaTA" TargetMode="External"/><Relationship Id="rId29" Type="http://schemas.openxmlformats.org/officeDocument/2006/relationships/hyperlink" Target="https://www.brown.edu/academics/mpp-graduate-program/people/faculty-trai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about/administration/institutional-diversity/resources/resources-during-national-unrest-2020" TargetMode="External"/><Relationship Id="rId24" Type="http://schemas.openxmlformats.org/officeDocument/2006/relationships/hyperlink" Target="http://www.google.com/url?q=http%3A%2F%2Fwww.brown.edu%2Fcampus-life%2Fsupport%2Flgbtq%2F&amp;sa=D&amp;sntz=1&amp;usg=AFQjCNHgkiG_0KGT9K_f77XCOFYDrh6YxQ" TargetMode="External"/><Relationship Id="rId32" Type="http://schemas.openxmlformats.org/officeDocument/2006/relationships/hyperlink" Target="https://www.brown.edu/academics/gradschool/graduate-student-grievance-procedures"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ogle.com/url?q=https%3A%2F%2Fwww.facebook.com%2FSacnasAtBrownUniversity%2F&amp;sa=D&amp;sntz=1&amp;usg=AFQjCNGZ174rY6gu6X2nXMUdhDkfn-QCgg" TargetMode="External"/><Relationship Id="rId23" Type="http://schemas.openxmlformats.org/officeDocument/2006/relationships/hyperlink" Target="https://www.brown.edu/campus-life/support/military-affiliated-students/" TargetMode="External"/><Relationship Id="rId28" Type="http://schemas.openxmlformats.org/officeDocument/2006/relationships/hyperlink" Target="https://blogs.brown.edu/ostem/" TargetMode="External"/><Relationship Id="rId36" Type="http://schemas.openxmlformats.org/officeDocument/2006/relationships/footer" Target="footer2.xml"/><Relationship Id="rId10" Type="http://schemas.openxmlformats.org/officeDocument/2006/relationships/hyperlink" Target="https://www.brown.edu/academics/gradschool/covid-19-faqs-graduate-students" TargetMode="External"/><Relationship Id="rId19" Type="http://schemas.openxmlformats.org/officeDocument/2006/relationships/hyperlink" Target="https://www.google.com/url?q=https%3A%2F%2Fwww.facebook.com%2FSamuel-M-Nabrit-Black-Graduate-Student-Association-106743682705255%2F%3Ffilter%3D2&amp;sa=D&amp;sntz=1&amp;usg=AFQjCNFvLD8i30-bGq6zOoan748yFOcNrA" TargetMode="External"/><Relationship Id="rId31" Type="http://schemas.openxmlformats.org/officeDocument/2006/relationships/hyperlink" Target="https://www.brown.edu/academics/gradschool/leaves-absence" TargetMode="External"/><Relationship Id="rId4" Type="http://schemas.openxmlformats.org/officeDocument/2006/relationships/webSettings" Target="webSettings.xml"/><Relationship Id="rId9" Type="http://schemas.openxmlformats.org/officeDocument/2006/relationships/hyperlink" Target="https://www.brown.edu/offices/student-support/student-support-services" TargetMode="External"/><Relationship Id="rId14" Type="http://schemas.openxmlformats.org/officeDocument/2006/relationships/hyperlink" Target="http://www.google.com/url?q=http%3A%2F%2Fwww.theleadershipalliance.org%2F&amp;sa=D&amp;sntz=1&amp;usg=AFQjCNEoJN73KQ8Y14V-gSaqVjAppcNk3w" TargetMode="External"/><Relationship Id="rId22" Type="http://schemas.openxmlformats.org/officeDocument/2006/relationships/hyperlink" Target="https://www.google.com/url?q=https%3A%2F%2Fwww.brown.edu%2Facademics%2Frace-ethnicity%2F&amp;sa=D&amp;sntz=1&amp;usg=AFQjCNEEBohPrvw2PqNignEWEYFFjTHpEg" TargetMode="External"/><Relationship Id="rId27" Type="http://schemas.openxmlformats.org/officeDocument/2006/relationships/hyperlink" Target="http://www.google.com/url?q=http%3A%2F%2Fwww.brown.edu%2Fcampus-life%2Fsupport%2Flgbtq%2Fbrown-safe-zone&amp;sa=D&amp;sntz=1&amp;usg=AFQjCNHsz1SVdGgqMUW8kcmNLVTGEcEKhA" TargetMode="External"/><Relationship Id="rId30" Type="http://schemas.openxmlformats.org/officeDocument/2006/relationships/hyperlink" Target="http://www.brown.edu/academics/gradschool/academics/rules-regulations/dissertation-guidelines" TargetMode="External"/><Relationship Id="rId35" Type="http://schemas.openxmlformats.org/officeDocument/2006/relationships/footer" Target="footer1.xml"/><Relationship Id="rId8" Type="http://schemas.openxmlformats.org/officeDocument/2006/relationships/hyperlink" Target="https://www.brown.edu/academics/gradschool/about/graduate-student-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11719</Words>
  <Characters>66804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gradprog.doc</vt:lpstr>
    </vt:vector>
  </TitlesOfParts>
  <Company>Brown University</Company>
  <LinksUpToDate>false</LinksUpToDate>
  <CharactersWithSpaces>78367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gradprog.doc</dc:title>
  <dc:subject/>
  <dc:creator>Physiology &amp; Biophysics Section</dc:creator>
  <cp:keywords/>
  <cp:lastModifiedBy>Microsoft Office User</cp:lastModifiedBy>
  <cp:revision>3</cp:revision>
  <cp:lastPrinted>2022-01-19T12:47:00Z</cp:lastPrinted>
  <dcterms:created xsi:type="dcterms:W3CDTF">2022-01-19T12:47:00Z</dcterms:created>
  <dcterms:modified xsi:type="dcterms:W3CDTF">2022-01-19T13:17:00Z</dcterms:modified>
</cp:coreProperties>
</file>